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AFB0" w14:textId="3B9D2B67" w:rsidR="00F31FE3" w:rsidRDefault="00253371" w:rsidP="00731A88">
      <w:pPr>
        <w:rPr>
          <w:b/>
          <w:bCs/>
        </w:rPr>
      </w:pPr>
      <w:r>
        <w:rPr>
          <w:b/>
          <w:bCs/>
        </w:rPr>
        <w:t>Derde</w:t>
      </w:r>
      <w:r w:rsidR="00F31FE3" w:rsidRPr="00232BB4">
        <w:rPr>
          <w:b/>
          <w:bCs/>
        </w:rPr>
        <w:t xml:space="preserve"> geotaskforce</w:t>
      </w:r>
      <w:r w:rsidR="003B6E9E">
        <w:rPr>
          <w:b/>
          <w:bCs/>
        </w:rPr>
        <w:t xml:space="preserve">, </w:t>
      </w:r>
      <w:r>
        <w:rPr>
          <w:b/>
          <w:bCs/>
        </w:rPr>
        <w:t>2</w:t>
      </w:r>
      <w:r w:rsidR="003B6E9E">
        <w:rPr>
          <w:b/>
          <w:bCs/>
        </w:rPr>
        <w:t>1 oktober 2021</w:t>
      </w:r>
    </w:p>
    <w:p w14:paraId="1796ED21" w14:textId="1413D53F" w:rsidR="00DF752C" w:rsidRDefault="00DF752C" w:rsidP="00731A88">
      <w:pPr>
        <w:rPr>
          <w:b/>
          <w:bCs/>
        </w:rPr>
      </w:pPr>
    </w:p>
    <w:p w14:paraId="57E88596" w14:textId="1C600297" w:rsidR="00DF752C" w:rsidRPr="00DF752C" w:rsidRDefault="00DF752C" w:rsidP="00731A88">
      <w:r w:rsidRPr="00DF752C">
        <w:t>Er wordt lang stilgestaan bij de analyse van actiepunt 7 issues bij de verwerking bij de LVBB</w:t>
      </w:r>
      <w:r>
        <w:t>. Dit punt is opgepakt door KOOP, Kadaster en TBO/Architectuur</w:t>
      </w:r>
    </w:p>
    <w:p w14:paraId="3BE753BA" w14:textId="5D39342E" w:rsidR="00EB1D4E" w:rsidRPr="00232BB4" w:rsidRDefault="00FA2A5D" w:rsidP="00EB1D4E">
      <w:pPr>
        <w:pStyle w:val="Lijstalinea"/>
        <w:numPr>
          <w:ilvl w:val="0"/>
          <w:numId w:val="2"/>
        </w:numPr>
        <w:rPr>
          <w:b/>
          <w:bCs/>
        </w:rPr>
      </w:pPr>
      <w:r>
        <w:rPr>
          <w:b/>
          <w:bCs/>
        </w:rPr>
        <w:t>Analyse knippen geometrieën</w:t>
      </w:r>
      <w:r w:rsidR="00474B93">
        <w:rPr>
          <w:b/>
          <w:bCs/>
        </w:rPr>
        <w:t xml:space="preserve"> en analyse aangeboden sets</w:t>
      </w:r>
    </w:p>
    <w:p w14:paraId="273C8781" w14:textId="35B6185E" w:rsidR="00EB1D4E" w:rsidRDefault="00FC64E8" w:rsidP="00474B93">
      <w:r>
        <w:t>In het bronhouderkoppelvlak vindt</w:t>
      </w:r>
      <w:r w:rsidR="004E58D4">
        <w:t xml:space="preserve">, naast KOOP validaties </w:t>
      </w:r>
      <w:r>
        <w:t xml:space="preserve"> een aantal Kadaster</w:t>
      </w:r>
      <w:r w:rsidR="004E58D4">
        <w:t xml:space="preserve"> </w:t>
      </w:r>
      <w:r>
        <w:t>validaties plaats</w:t>
      </w:r>
    </w:p>
    <w:p w14:paraId="7FA877B6" w14:textId="2914AA09" w:rsidR="00FC64E8" w:rsidRDefault="00FC64E8" w:rsidP="00FC64E8">
      <w:pPr>
        <w:pStyle w:val="Lijstalinea"/>
        <w:numPr>
          <w:ilvl w:val="0"/>
          <w:numId w:val="6"/>
        </w:numPr>
      </w:pPr>
      <w:r>
        <w:t>OW-validatie</w:t>
      </w:r>
    </w:p>
    <w:p w14:paraId="18CBE392" w14:textId="6D23A3F1" w:rsidR="00FC64E8" w:rsidRDefault="00FC64E8" w:rsidP="00FC64E8">
      <w:pPr>
        <w:pStyle w:val="Lijstalinea"/>
        <w:numPr>
          <w:ilvl w:val="0"/>
          <w:numId w:val="6"/>
        </w:numPr>
      </w:pPr>
      <w:r>
        <w:t>Geo-validatie</w:t>
      </w:r>
    </w:p>
    <w:p w14:paraId="0B55586E" w14:textId="0BCE216C" w:rsidR="00FC64E8" w:rsidRDefault="00FC64E8" w:rsidP="00FC64E8">
      <w:pPr>
        <w:pStyle w:val="Lijstalinea"/>
        <w:numPr>
          <w:ilvl w:val="0"/>
          <w:numId w:val="6"/>
        </w:numPr>
      </w:pPr>
      <w:r>
        <w:t>Proefregistratie</w:t>
      </w:r>
    </w:p>
    <w:p w14:paraId="786447AE" w14:textId="5B8C4497" w:rsidR="00FC64E8" w:rsidRDefault="00FC64E8" w:rsidP="00FC64E8">
      <w:r>
        <w:t xml:space="preserve">Daarnaast doet het BHKV STOP-controles en </w:t>
      </w:r>
      <w:r w:rsidR="00917DC4">
        <w:t>bekendmakings</w:t>
      </w:r>
      <w:r>
        <w:t>controle</w:t>
      </w:r>
      <w:r w:rsidR="00917DC4">
        <w:t>s</w:t>
      </w:r>
      <w:r>
        <w:t xml:space="preserve"> </w:t>
      </w:r>
      <w:r w:rsidR="00917DC4">
        <w:t>via de</w:t>
      </w:r>
      <w:r w:rsidR="00CE2120">
        <w:t xml:space="preserve"> </w:t>
      </w:r>
      <w:r w:rsidR="00917DC4">
        <w:t>“</w:t>
      </w:r>
      <w:r w:rsidR="00CE2120">
        <w:t>generieke services</w:t>
      </w:r>
      <w:r w:rsidR="00917DC4">
        <w:t>” van KOOP</w:t>
      </w:r>
      <w:r w:rsidR="00CE2120">
        <w:t>, waarna de LVBB de consolidatie maakt</w:t>
      </w:r>
      <w:r w:rsidR="00917DC4">
        <w:t>. D</w:t>
      </w:r>
      <w:r w:rsidR="00CE2120">
        <w:t xml:space="preserve">aarna vindt de definitieve registratie plaats in LVBB en </w:t>
      </w:r>
      <w:r w:rsidR="00917DC4">
        <w:t xml:space="preserve">doorlevering aan </w:t>
      </w:r>
      <w:r w:rsidR="00CE2120">
        <w:t>OZO</w:t>
      </w:r>
      <w:r w:rsidR="00917DC4">
        <w:t>N en de systemen van KOOP</w:t>
      </w:r>
      <w:r w:rsidR="004B0A5B">
        <w:t>. Op al deze stappen is/</w:t>
      </w:r>
      <w:r w:rsidR="00917DC4">
        <w:t xml:space="preserve">doet het LVBB team een </w:t>
      </w:r>
      <w:r w:rsidR="004B0A5B">
        <w:t xml:space="preserve">analyse </w:t>
      </w:r>
      <w:r w:rsidR="00917DC4">
        <w:t>t.a.v. de doorlooptijd van het proces</w:t>
      </w:r>
      <w:r w:rsidR="004B0A5B">
        <w:t>.</w:t>
      </w:r>
    </w:p>
    <w:p w14:paraId="76698ABD" w14:textId="161B9481" w:rsidR="00D63765" w:rsidRPr="00D63765" w:rsidRDefault="00D63765" w:rsidP="00D63765">
      <w:pPr>
        <w:pStyle w:val="Lijstalinea"/>
        <w:numPr>
          <w:ilvl w:val="0"/>
          <w:numId w:val="7"/>
        </w:numPr>
      </w:pPr>
      <w:r w:rsidRPr="00D63765">
        <w:t xml:space="preserve">Ontvangen en opslaan van de ZIP’s is </w:t>
      </w:r>
      <w:r w:rsidR="00917DC4">
        <w:t>in de LVBB</w:t>
      </w:r>
      <w:r w:rsidR="004E58D4">
        <w:t xml:space="preserve"> levert </w:t>
      </w:r>
      <w:r w:rsidRPr="00D63765">
        <w:t xml:space="preserve">geen </w:t>
      </w:r>
      <w:r w:rsidR="004E58D4">
        <w:t xml:space="preserve">performance </w:t>
      </w:r>
      <w:r w:rsidRPr="00D63765">
        <w:t>probleem</w:t>
      </w:r>
    </w:p>
    <w:p w14:paraId="49FC7EFA" w14:textId="4840E0DE" w:rsidR="00D63765" w:rsidRPr="00D63765" w:rsidRDefault="00D63765" w:rsidP="00D63765">
      <w:pPr>
        <w:pStyle w:val="Lijstalinea"/>
        <w:numPr>
          <w:ilvl w:val="0"/>
          <w:numId w:val="7"/>
        </w:numPr>
      </w:pPr>
      <w:r w:rsidRPr="00D63765">
        <w:t>Opknippen van de GIO in GML-en t.b.v. de Geo validatie. Hier ontstaat het 1e probleem =&gt; in Release 20.2 reeds verbeterd</w:t>
      </w:r>
      <w:r w:rsidR="00E64FFB">
        <w:t>: van uren naar minuten</w:t>
      </w:r>
    </w:p>
    <w:p w14:paraId="76A022A5" w14:textId="1D478527" w:rsidR="00D63765" w:rsidRPr="00D63765" w:rsidRDefault="00D63765" w:rsidP="00D63765">
      <w:pPr>
        <w:pStyle w:val="Lijstalinea"/>
        <w:numPr>
          <w:ilvl w:val="0"/>
          <w:numId w:val="7"/>
        </w:numPr>
      </w:pPr>
      <w:r w:rsidRPr="00D63765">
        <w:t xml:space="preserve">OW-validatie: dit lijkt geen probleem te zijn bij </w:t>
      </w:r>
      <w:r w:rsidR="001C67D8">
        <w:t>veel</w:t>
      </w:r>
      <w:r w:rsidRPr="00D63765">
        <w:t xml:space="preserve"> bestanden (nog te toetsen)</w:t>
      </w:r>
    </w:p>
    <w:p w14:paraId="785E0E5F" w14:textId="0584FE9A" w:rsidR="00D63765" w:rsidRPr="00D63765" w:rsidRDefault="006641F4" w:rsidP="00D63765">
      <w:pPr>
        <w:pStyle w:val="Lijstalinea"/>
        <w:numPr>
          <w:ilvl w:val="0"/>
          <w:numId w:val="7"/>
        </w:numPr>
      </w:pPr>
      <w:r>
        <w:t>Geo</w:t>
      </w:r>
      <w:r w:rsidR="00D63765" w:rsidRPr="00D63765">
        <w:t>-validatie: Er is hier verbetering mogelijk. Sterke relatie met de  validatieprocessen van Ozon</w:t>
      </w:r>
    </w:p>
    <w:p w14:paraId="4B5A4B39" w14:textId="2FD09756" w:rsidR="00D63765" w:rsidRPr="00D63765" w:rsidRDefault="00D63765" w:rsidP="00D63765">
      <w:pPr>
        <w:pStyle w:val="Lijstalinea"/>
        <w:numPr>
          <w:ilvl w:val="0"/>
          <w:numId w:val="7"/>
        </w:numPr>
      </w:pPr>
      <w:r w:rsidRPr="00D63765">
        <w:t xml:space="preserve">STOP-controles en consolidatie. Dit lijkt geen probleem te zijn bij </w:t>
      </w:r>
      <w:r w:rsidR="001C67D8">
        <w:t>veel</w:t>
      </w:r>
      <w:r w:rsidRPr="00D63765">
        <w:t xml:space="preserve"> bestanden (praktisch nog te toetsen)</w:t>
      </w:r>
    </w:p>
    <w:p w14:paraId="745A5A91" w14:textId="7F280907" w:rsidR="004B0A5B" w:rsidRDefault="00D63765" w:rsidP="00D63765">
      <w:pPr>
        <w:pStyle w:val="Lijstalinea"/>
        <w:numPr>
          <w:ilvl w:val="0"/>
          <w:numId w:val="7"/>
        </w:numPr>
      </w:pPr>
      <w:r w:rsidRPr="00D63765">
        <w:t xml:space="preserve">Proefvalidatie. Dit heeft mogelijk gelijke issues met de </w:t>
      </w:r>
      <w:r w:rsidR="006641F4">
        <w:t>geo</w:t>
      </w:r>
      <w:r w:rsidRPr="00D63765">
        <w:t>-validatie</w:t>
      </w:r>
    </w:p>
    <w:p w14:paraId="77B7EAF9" w14:textId="302E29FF" w:rsidR="008A4CA4" w:rsidRDefault="008A4CA4">
      <w:r>
        <w:t>Ook bij OZON vindt een aantal stappen plaats</w:t>
      </w:r>
      <w:r w:rsidR="00C82809">
        <w:t xml:space="preserve"> en ook op al deze stappen is/wordt analyse gedaan.</w:t>
      </w:r>
      <w:r w:rsidR="004E58D4">
        <w:t xml:space="preserve"> De totale duur bij 100.000 geometriën was 11,5 uur. </w:t>
      </w:r>
    </w:p>
    <w:p w14:paraId="2DAA53EC" w14:textId="0D9921ED" w:rsidR="00C82809" w:rsidRDefault="00390BAD" w:rsidP="00C606C8">
      <w:pPr>
        <w:pStyle w:val="Lijstalinea"/>
        <w:numPr>
          <w:ilvl w:val="0"/>
          <w:numId w:val="8"/>
        </w:numPr>
      </w:pPr>
      <w:r>
        <w:t>Proefregistratie verzoek opslaan</w:t>
      </w:r>
      <w:r w:rsidR="00C606C8">
        <w:t>: dit is geen probleem</w:t>
      </w:r>
    </w:p>
    <w:p w14:paraId="6DB803F6" w14:textId="158DB915" w:rsidR="00390BAD" w:rsidRDefault="00390BAD" w:rsidP="00C606C8">
      <w:pPr>
        <w:pStyle w:val="Lijstalinea"/>
        <w:numPr>
          <w:ilvl w:val="0"/>
          <w:numId w:val="8"/>
        </w:numPr>
      </w:pPr>
      <w:r>
        <w:t>Download</w:t>
      </w:r>
      <w:r w:rsidR="00C606C8">
        <w:t>:</w:t>
      </w:r>
      <w:r w:rsidR="004E58D4">
        <w:t xml:space="preserve"> minuut</w:t>
      </w:r>
      <w:r w:rsidR="00C606C8">
        <w:t xml:space="preserve"> dit is geen probleem</w:t>
      </w:r>
    </w:p>
    <w:p w14:paraId="37176B50" w14:textId="0F30FE9F" w:rsidR="00390BAD" w:rsidRDefault="00390BAD" w:rsidP="00C606C8">
      <w:pPr>
        <w:pStyle w:val="Lijstalinea"/>
        <w:numPr>
          <w:ilvl w:val="0"/>
          <w:numId w:val="8"/>
        </w:numPr>
      </w:pPr>
      <w:r>
        <w:t>Controle manifest</w:t>
      </w:r>
      <w:r w:rsidR="00C606C8">
        <w:t>: dit is teruggebracht va</w:t>
      </w:r>
      <w:r w:rsidR="00AC4DC8">
        <w:t xml:space="preserve">n </w:t>
      </w:r>
      <w:r w:rsidR="004E58D4">
        <w:t>3,5 uur</w:t>
      </w:r>
      <w:r w:rsidR="00AC4DC8">
        <w:t xml:space="preserve"> naar minuten</w:t>
      </w:r>
    </w:p>
    <w:p w14:paraId="4C4C1BBA" w14:textId="310A94AC" w:rsidR="00C606C8" w:rsidRDefault="00C606C8" w:rsidP="00C606C8">
      <w:pPr>
        <w:pStyle w:val="Lijstalinea"/>
        <w:numPr>
          <w:ilvl w:val="0"/>
          <w:numId w:val="8"/>
        </w:numPr>
      </w:pPr>
      <w:r>
        <w:t>OW-validatie schema</w:t>
      </w:r>
      <w:r w:rsidR="00AC4DC8">
        <w:t xml:space="preserve">: dit wordt </w:t>
      </w:r>
      <w:r w:rsidR="00CD6A92">
        <w:t>nog geanalyseerd</w:t>
      </w:r>
      <w:r w:rsidR="004E58D4">
        <w:t xml:space="preserve">  (1,5 uur)</w:t>
      </w:r>
    </w:p>
    <w:p w14:paraId="2D861A99" w14:textId="758A14D1" w:rsidR="00C606C8" w:rsidRDefault="00C606C8" w:rsidP="00C606C8">
      <w:pPr>
        <w:pStyle w:val="Lijstalinea"/>
        <w:numPr>
          <w:ilvl w:val="0"/>
          <w:numId w:val="8"/>
        </w:numPr>
      </w:pPr>
      <w:r>
        <w:t>Controle schema</w:t>
      </w:r>
      <w:r w:rsidR="00AC4DC8">
        <w:t xml:space="preserve">: </w:t>
      </w:r>
      <w:r w:rsidR="004E58D4">
        <w:t>seconden,</w:t>
      </w:r>
      <w:r w:rsidR="00AC76FF">
        <w:t xml:space="preserve"> </w:t>
      </w:r>
      <w:r w:rsidR="00AC4DC8">
        <w:t>dit is geen probleem</w:t>
      </w:r>
    </w:p>
    <w:p w14:paraId="031916F8" w14:textId="707D43DF" w:rsidR="00C606C8" w:rsidRDefault="00C606C8" w:rsidP="00C606C8">
      <w:pPr>
        <w:pStyle w:val="Lijstalinea"/>
        <w:numPr>
          <w:ilvl w:val="0"/>
          <w:numId w:val="8"/>
        </w:numPr>
      </w:pPr>
      <w:r>
        <w:t>Controle geometrie</w:t>
      </w:r>
      <w:r w:rsidR="00CD6A92">
        <w:t>: dit wordt nog geanalyseerd</w:t>
      </w:r>
      <w:r w:rsidR="004E58D4">
        <w:t xml:space="preserve"> (1,5 uur)</w:t>
      </w:r>
    </w:p>
    <w:p w14:paraId="1B09621A" w14:textId="35CBEA33" w:rsidR="00C606C8" w:rsidRDefault="00C606C8" w:rsidP="00C606C8">
      <w:pPr>
        <w:pStyle w:val="Lijstalinea"/>
        <w:numPr>
          <w:ilvl w:val="0"/>
          <w:numId w:val="8"/>
        </w:numPr>
      </w:pPr>
      <w:r>
        <w:t>Validator</w:t>
      </w:r>
      <w:r w:rsidR="00CD6A92">
        <w:t>: dit wordt nog geanalyseerd</w:t>
      </w:r>
      <w:r w:rsidR="004E58D4">
        <w:t xml:space="preserve"> (2,5 uur)</w:t>
      </w:r>
    </w:p>
    <w:p w14:paraId="41C3B341" w14:textId="77777777" w:rsidR="00CD6A92" w:rsidRDefault="00CD6A92" w:rsidP="00CD6A92"/>
    <w:p w14:paraId="4BFD5438" w14:textId="500D2A60" w:rsidR="00A40442" w:rsidRPr="00232BB4" w:rsidRDefault="00D54727" w:rsidP="00A40442">
      <w:pPr>
        <w:pStyle w:val="Lijstalinea"/>
        <w:numPr>
          <w:ilvl w:val="0"/>
          <w:numId w:val="2"/>
        </w:numPr>
        <w:rPr>
          <w:b/>
          <w:bCs/>
        </w:rPr>
      </w:pPr>
      <w:r>
        <w:rPr>
          <w:b/>
          <w:bCs/>
        </w:rPr>
        <w:t>Nadere analyse waar we (straks) mee te maken gaan krijgen</w:t>
      </w:r>
    </w:p>
    <w:p w14:paraId="18151620" w14:textId="4A705B05" w:rsidR="004E58D4" w:rsidRDefault="007F0CBD">
      <w:r>
        <w:t>Om te weten wat acceptabel is qua verwerkingstijd, hebben we een analyse nodig waar we het over hebben: hoe groot, hoe veel, hoe vaak</w:t>
      </w:r>
      <w:r w:rsidR="004E58D4">
        <w:t xml:space="preserve">? </w:t>
      </w:r>
      <w:r w:rsidR="001A6ACA">
        <w:t xml:space="preserve">Wat is acceptabel qua tijd? </w:t>
      </w:r>
      <w:r w:rsidR="00492616">
        <w:t xml:space="preserve">Is het alleen het initiële plan of is het ook zo veel bij muteren? Gaan we hier alleen bij de start van het stelsel mee te maken hebben of blijven die grote hoeveelheden geometrieën aangeboden worden? Hoe vaak </w:t>
      </w:r>
      <w:r w:rsidR="00965334">
        <w:t xml:space="preserve">wordt een volledig omgevingsplan of ander omgevingsdocument aangeboden? </w:t>
      </w:r>
      <w:r w:rsidR="004E58D4">
        <w:br/>
        <w:t>Daarop gebaseerd kun je vervolgstappen zetten na de technische optimalisatieslag.</w:t>
      </w:r>
    </w:p>
    <w:p w14:paraId="24DC0333" w14:textId="2A8C1094" w:rsidR="00965334" w:rsidRDefault="00965334">
      <w:r>
        <w:t xml:space="preserve">Er worden wel enige cijfers en </w:t>
      </w:r>
      <w:r w:rsidR="009D1221">
        <w:t>hoeveelheden genoemd, maar besloten wordt om dit actief te onderzoeken en die vraag bij de BLM’s neer te leggen</w:t>
      </w:r>
      <w:r w:rsidR="008A3CBC">
        <w:t>.</w:t>
      </w:r>
    </w:p>
    <w:p w14:paraId="46606A70" w14:textId="78822D4E" w:rsidR="00A40442" w:rsidRDefault="001E39B8" w:rsidP="00065768">
      <w:pPr>
        <w:pStyle w:val="Lijstalinea"/>
        <w:numPr>
          <w:ilvl w:val="0"/>
          <w:numId w:val="2"/>
        </w:numPr>
        <w:rPr>
          <w:b/>
          <w:bCs/>
        </w:rPr>
      </w:pPr>
      <w:r>
        <w:rPr>
          <w:b/>
          <w:bCs/>
        </w:rPr>
        <w:lastRenderedPageBreak/>
        <w:t>Conclusies en v</w:t>
      </w:r>
      <w:r w:rsidR="002F2F3B" w:rsidRPr="00232BB4">
        <w:rPr>
          <w:b/>
          <w:bCs/>
        </w:rPr>
        <w:t>ervolgacties</w:t>
      </w:r>
    </w:p>
    <w:p w14:paraId="351111DB" w14:textId="3E53B8EC" w:rsidR="001E39B8" w:rsidRPr="00D50D3E" w:rsidRDefault="001E39B8" w:rsidP="001E39B8">
      <w:r w:rsidRPr="00D50D3E">
        <w:t xml:space="preserve">De analyse zoals hierboven beschreven wordt voortgezet, ook met een aantal al aangeleverde of nog aan te leveren bestanden. </w:t>
      </w:r>
      <w:r w:rsidR="00D71E16">
        <w:t xml:space="preserve">Geonovum is het aanlever/distributiepunt. </w:t>
      </w:r>
      <w:r w:rsidRPr="00D50D3E">
        <w:t xml:space="preserve">Hieronder </w:t>
      </w:r>
    </w:p>
    <w:p w14:paraId="7BFFE4A7" w14:textId="3A790B13" w:rsidR="002657F0" w:rsidRPr="00D50D3E" w:rsidRDefault="002657F0" w:rsidP="002657F0">
      <w:pPr>
        <w:pStyle w:val="Lijstalinea"/>
        <w:numPr>
          <w:ilvl w:val="0"/>
          <w:numId w:val="8"/>
        </w:numPr>
      </w:pPr>
      <w:r w:rsidRPr="00D50D3E">
        <w:t xml:space="preserve">ZZL nog een keer </w:t>
      </w:r>
      <w:r w:rsidR="00D50D3E" w:rsidRPr="00D50D3E">
        <w:t>opgesplitst en als 1 GIO proberen</w:t>
      </w:r>
    </w:p>
    <w:p w14:paraId="50AAB437" w14:textId="457178DC" w:rsidR="00D50D3E" w:rsidRPr="00D50D3E" w:rsidRDefault="00D50D3E" w:rsidP="002657F0">
      <w:pPr>
        <w:pStyle w:val="Lijstalinea"/>
        <w:numPr>
          <w:ilvl w:val="0"/>
          <w:numId w:val="8"/>
        </w:numPr>
      </w:pPr>
      <w:r w:rsidRPr="00D50D3E">
        <w:t xml:space="preserve">Rijnland </w:t>
      </w:r>
      <w:r w:rsidR="00DF752C">
        <w:t>van Moxio wordt omgezet in 1.1.0 (300.000)</w:t>
      </w:r>
    </w:p>
    <w:p w14:paraId="6AE77947" w14:textId="4DA44F4D" w:rsidR="00D50D3E" w:rsidRPr="00D50D3E" w:rsidRDefault="00D50D3E" w:rsidP="002657F0">
      <w:pPr>
        <w:pStyle w:val="Lijstalinea"/>
        <w:numPr>
          <w:ilvl w:val="0"/>
          <w:numId w:val="8"/>
        </w:numPr>
      </w:pPr>
      <w:r w:rsidRPr="00D50D3E">
        <w:t>RES Zeeland</w:t>
      </w:r>
      <w:r w:rsidR="00DF752C">
        <w:t xml:space="preserve"> van M</w:t>
      </w:r>
      <w:r w:rsidR="0031693D">
        <w:t>D</w:t>
      </w:r>
    </w:p>
    <w:p w14:paraId="0EBEC15B" w14:textId="3D66DAB1" w:rsidR="00040333" w:rsidRDefault="00C8245F">
      <w:r>
        <w:t xml:space="preserve"> </w:t>
      </w:r>
      <w:r w:rsidR="006049A8">
        <w:t xml:space="preserve">Helder is intussen dat het traject bestaat uit een aantal stappen, waarbij de </w:t>
      </w:r>
      <w:r w:rsidR="00040333">
        <w:t xml:space="preserve">eerste stap, de technische optimalisatie, eerst geanalyseerd en uitgevoerd moet worden voor </w:t>
      </w:r>
      <w:r w:rsidR="008B64BE">
        <w:t xml:space="preserve">bepaald kan worden of </w:t>
      </w:r>
      <w:r w:rsidR="00040333">
        <w:t xml:space="preserve">volgende stappen gezet </w:t>
      </w:r>
      <w:r w:rsidR="008B64BE">
        <w:t>moeten</w:t>
      </w:r>
      <w:r w:rsidR="00040333">
        <w:t xml:space="preserve"> worden. </w:t>
      </w:r>
    </w:p>
    <w:p w14:paraId="0F905ECE" w14:textId="77777777" w:rsidR="00040333" w:rsidRDefault="00040333" w:rsidP="00040333">
      <w:pPr>
        <w:pStyle w:val="Lijstalinea"/>
        <w:numPr>
          <w:ilvl w:val="0"/>
          <w:numId w:val="9"/>
        </w:numPr>
      </w:pPr>
      <w:r>
        <w:t>Technische optimalisatie</w:t>
      </w:r>
    </w:p>
    <w:p w14:paraId="383CA1D9" w14:textId="77777777" w:rsidR="00230C1F" w:rsidRDefault="00230C1F" w:rsidP="00040333">
      <w:pPr>
        <w:pStyle w:val="Lijstalinea"/>
        <w:numPr>
          <w:ilvl w:val="0"/>
          <w:numId w:val="9"/>
        </w:numPr>
      </w:pPr>
      <w:r>
        <w:t>Verandering van procesinrichting (zonder model aan te passen)</w:t>
      </w:r>
    </w:p>
    <w:p w14:paraId="582CC17B" w14:textId="080DAEF1" w:rsidR="00A1465E" w:rsidRDefault="00A1465E" w:rsidP="00040333">
      <w:pPr>
        <w:pStyle w:val="Lijstalinea"/>
        <w:numPr>
          <w:ilvl w:val="0"/>
          <w:numId w:val="9"/>
        </w:numPr>
      </w:pPr>
      <w:r>
        <w:t xml:space="preserve">Verschil in aanlevering, hoe lever je op? </w:t>
      </w:r>
      <w:r w:rsidR="008B64BE">
        <w:t>–</w:t>
      </w:r>
      <w:r>
        <w:t xml:space="preserve"> </w:t>
      </w:r>
      <w:r w:rsidR="008B64BE">
        <w:t>wellicht leidend tot werkinstructies</w:t>
      </w:r>
    </w:p>
    <w:p w14:paraId="14CF584F" w14:textId="2DE09BBB" w:rsidR="007E5F02" w:rsidRDefault="00A1465E" w:rsidP="00040333">
      <w:pPr>
        <w:pStyle w:val="Lijstalinea"/>
        <w:numPr>
          <w:ilvl w:val="0"/>
          <w:numId w:val="9"/>
        </w:numPr>
      </w:pPr>
      <w:r>
        <w:t>Aanpassingen in de standaard</w:t>
      </w:r>
      <w:r w:rsidR="006049A8">
        <w:t xml:space="preserve"> </w:t>
      </w:r>
    </w:p>
    <w:p w14:paraId="1CC33033" w14:textId="7767A9D1" w:rsidR="008B64BE" w:rsidRDefault="008B64BE" w:rsidP="008B64BE">
      <w:r>
        <w:t xml:space="preserve">Het lijkt wel verstandig om </w:t>
      </w:r>
      <w:r w:rsidR="00B97848">
        <w:t xml:space="preserve">als de technische analyse is afgerond (volgende week), te agenderen om het over de proces-aanpassingen te hebben. </w:t>
      </w:r>
    </w:p>
    <w:tbl>
      <w:tblPr>
        <w:tblStyle w:val="Tabelraster"/>
        <w:tblW w:w="0" w:type="auto"/>
        <w:tblLook w:val="04A0" w:firstRow="1" w:lastRow="0" w:firstColumn="1" w:lastColumn="0" w:noHBand="0" w:noVBand="1"/>
      </w:tblPr>
      <w:tblGrid>
        <w:gridCol w:w="562"/>
        <w:gridCol w:w="5387"/>
        <w:gridCol w:w="1984"/>
        <w:gridCol w:w="1129"/>
      </w:tblGrid>
      <w:tr w:rsidR="00F5110D" w:rsidRPr="00445983" w14:paraId="0D103655" w14:textId="77777777" w:rsidTr="00D71E16">
        <w:tc>
          <w:tcPr>
            <w:tcW w:w="562" w:type="dxa"/>
          </w:tcPr>
          <w:p w14:paraId="566F3C49" w14:textId="77777777" w:rsidR="00F5110D" w:rsidRPr="00445983" w:rsidRDefault="00F5110D" w:rsidP="00BD3061">
            <w:pPr>
              <w:rPr>
                <w:b/>
                <w:bCs/>
              </w:rPr>
            </w:pPr>
          </w:p>
        </w:tc>
        <w:tc>
          <w:tcPr>
            <w:tcW w:w="5387" w:type="dxa"/>
          </w:tcPr>
          <w:p w14:paraId="0468947D" w14:textId="77777777" w:rsidR="00F5110D" w:rsidRPr="00445983" w:rsidRDefault="00F5110D" w:rsidP="00BD3061">
            <w:pPr>
              <w:rPr>
                <w:b/>
                <w:bCs/>
              </w:rPr>
            </w:pPr>
            <w:r w:rsidRPr="00445983">
              <w:rPr>
                <w:b/>
                <w:bCs/>
              </w:rPr>
              <w:t>Actie</w:t>
            </w:r>
          </w:p>
        </w:tc>
        <w:tc>
          <w:tcPr>
            <w:tcW w:w="1984" w:type="dxa"/>
          </w:tcPr>
          <w:p w14:paraId="3B153C54" w14:textId="77777777" w:rsidR="00F5110D" w:rsidRPr="00445983" w:rsidRDefault="00F5110D" w:rsidP="00BD3061">
            <w:pPr>
              <w:rPr>
                <w:b/>
                <w:bCs/>
              </w:rPr>
            </w:pPr>
            <w:r w:rsidRPr="00445983">
              <w:rPr>
                <w:b/>
                <w:bCs/>
              </w:rPr>
              <w:t>Wie</w:t>
            </w:r>
          </w:p>
        </w:tc>
        <w:tc>
          <w:tcPr>
            <w:tcW w:w="1129" w:type="dxa"/>
          </w:tcPr>
          <w:p w14:paraId="38B82FD8" w14:textId="77777777" w:rsidR="00F5110D" w:rsidRPr="00445983" w:rsidRDefault="00F5110D" w:rsidP="00BD3061">
            <w:pPr>
              <w:rPr>
                <w:b/>
                <w:bCs/>
              </w:rPr>
            </w:pPr>
            <w:r w:rsidRPr="00445983">
              <w:rPr>
                <w:b/>
                <w:bCs/>
              </w:rPr>
              <w:t>Gereed</w:t>
            </w:r>
          </w:p>
        </w:tc>
      </w:tr>
      <w:tr w:rsidR="004A0982" w14:paraId="254A8E47" w14:textId="77777777" w:rsidTr="00D71E16">
        <w:tc>
          <w:tcPr>
            <w:tcW w:w="562" w:type="dxa"/>
          </w:tcPr>
          <w:p w14:paraId="0D217A11" w14:textId="4AE590E7" w:rsidR="004A0982" w:rsidRPr="00D71E16" w:rsidRDefault="00D71E16" w:rsidP="00D71E16">
            <w:pPr>
              <w:rPr>
                <w:color w:val="000000" w:themeColor="text1"/>
              </w:rPr>
            </w:pPr>
            <w:r w:rsidRPr="00D71E16">
              <w:rPr>
                <w:color w:val="000000" w:themeColor="text1"/>
              </w:rPr>
              <w:t>11</w:t>
            </w:r>
          </w:p>
        </w:tc>
        <w:tc>
          <w:tcPr>
            <w:tcW w:w="5387" w:type="dxa"/>
          </w:tcPr>
          <w:p w14:paraId="58548CA1" w14:textId="32024BC1" w:rsidR="004A0982" w:rsidRDefault="00B62689" w:rsidP="00BD3061">
            <w:r>
              <w:t>Analyse aangeboden sets</w:t>
            </w:r>
            <w:r w:rsidR="00D71E16">
              <w:t xml:space="preserve"> op de Viewer Kadaster</w:t>
            </w:r>
          </w:p>
        </w:tc>
        <w:tc>
          <w:tcPr>
            <w:tcW w:w="1984" w:type="dxa"/>
          </w:tcPr>
          <w:p w14:paraId="3EA3EE01" w14:textId="0045AFF4" w:rsidR="004A0982" w:rsidRDefault="004A0982" w:rsidP="00BD3061"/>
        </w:tc>
        <w:tc>
          <w:tcPr>
            <w:tcW w:w="1129" w:type="dxa"/>
          </w:tcPr>
          <w:p w14:paraId="31EE7D52" w14:textId="3C0BA33F" w:rsidR="004A0982" w:rsidRDefault="00B62689" w:rsidP="00BD3061">
            <w:r>
              <w:t>21-10-21</w:t>
            </w:r>
          </w:p>
        </w:tc>
      </w:tr>
      <w:tr w:rsidR="00367732" w14:paraId="5C3721F1" w14:textId="77777777" w:rsidTr="00D71E16">
        <w:tc>
          <w:tcPr>
            <w:tcW w:w="562" w:type="dxa"/>
          </w:tcPr>
          <w:p w14:paraId="1BE60E73" w14:textId="03004EBA" w:rsidR="00367732" w:rsidRPr="00D71E16" w:rsidRDefault="00D71E16" w:rsidP="00D71E16">
            <w:pPr>
              <w:rPr>
                <w:color w:val="000000" w:themeColor="text1"/>
              </w:rPr>
            </w:pPr>
            <w:r w:rsidRPr="00D71E16">
              <w:rPr>
                <w:color w:val="000000" w:themeColor="text1"/>
              </w:rPr>
              <w:t>12</w:t>
            </w:r>
          </w:p>
        </w:tc>
        <w:tc>
          <w:tcPr>
            <w:tcW w:w="5387" w:type="dxa"/>
          </w:tcPr>
          <w:p w14:paraId="63C50CAB" w14:textId="42EA9EAB" w:rsidR="00367732" w:rsidRDefault="000D6A4E" w:rsidP="00BD3061">
            <w:r>
              <w:t>Overleg BLM’s over analyse aanbod plannen/</w:t>
            </w:r>
            <w:r w:rsidR="00335480">
              <w:t>geometrieën</w:t>
            </w:r>
            <w:r w:rsidR="00BD2184">
              <w:t>: hoe veel, hoe vaak, alleen initieel of ook bij mutaties</w:t>
            </w:r>
          </w:p>
        </w:tc>
        <w:tc>
          <w:tcPr>
            <w:tcW w:w="1984" w:type="dxa"/>
          </w:tcPr>
          <w:p w14:paraId="1983F37C" w14:textId="0C7BC151" w:rsidR="00367732" w:rsidRDefault="00367732" w:rsidP="00BD3061"/>
        </w:tc>
        <w:tc>
          <w:tcPr>
            <w:tcW w:w="1129" w:type="dxa"/>
          </w:tcPr>
          <w:p w14:paraId="76209D15" w14:textId="70310665" w:rsidR="00367732" w:rsidRDefault="00376A46" w:rsidP="00BD3061">
            <w:r>
              <w:t>28-10-21</w:t>
            </w:r>
          </w:p>
        </w:tc>
      </w:tr>
      <w:tr w:rsidR="00367732" w14:paraId="51DB719D" w14:textId="77777777" w:rsidTr="00D71E16">
        <w:tc>
          <w:tcPr>
            <w:tcW w:w="562" w:type="dxa"/>
          </w:tcPr>
          <w:p w14:paraId="0E8B7F88" w14:textId="42C801AF" w:rsidR="00367732" w:rsidRPr="00D71E16" w:rsidRDefault="00D71E16" w:rsidP="00D71E16">
            <w:pPr>
              <w:rPr>
                <w:color w:val="000000" w:themeColor="text1"/>
              </w:rPr>
            </w:pPr>
            <w:r w:rsidRPr="00D71E16">
              <w:rPr>
                <w:color w:val="000000" w:themeColor="text1"/>
              </w:rPr>
              <w:t>13</w:t>
            </w:r>
          </w:p>
        </w:tc>
        <w:tc>
          <w:tcPr>
            <w:tcW w:w="5387" w:type="dxa"/>
          </w:tcPr>
          <w:p w14:paraId="18A83D48" w14:textId="1A010D90" w:rsidR="00367732" w:rsidRDefault="003F289E" w:rsidP="00BD3061">
            <w:r>
              <w:t xml:space="preserve">Check </w:t>
            </w:r>
            <w:r w:rsidR="00CB7171">
              <w:t>over mogelijkheid hergebruik GUIDs (in documentatie / standaard)</w:t>
            </w:r>
          </w:p>
        </w:tc>
        <w:tc>
          <w:tcPr>
            <w:tcW w:w="1984" w:type="dxa"/>
          </w:tcPr>
          <w:p w14:paraId="0943A177" w14:textId="02B3F136" w:rsidR="00367732" w:rsidRDefault="00367732" w:rsidP="00BD3061"/>
        </w:tc>
        <w:tc>
          <w:tcPr>
            <w:tcW w:w="1129" w:type="dxa"/>
          </w:tcPr>
          <w:p w14:paraId="02960F73" w14:textId="159BFF59" w:rsidR="00367732" w:rsidRDefault="00CB7171" w:rsidP="00BD3061">
            <w:r>
              <w:t>28-10-21</w:t>
            </w:r>
          </w:p>
        </w:tc>
      </w:tr>
      <w:tr w:rsidR="00367732" w14:paraId="74346D27" w14:textId="77777777" w:rsidTr="00D71E16">
        <w:tc>
          <w:tcPr>
            <w:tcW w:w="562" w:type="dxa"/>
          </w:tcPr>
          <w:p w14:paraId="7933693F" w14:textId="1C2B6114" w:rsidR="00367732" w:rsidRPr="00D71E16" w:rsidRDefault="00D71E16" w:rsidP="00D71E16">
            <w:pPr>
              <w:rPr>
                <w:color w:val="000000" w:themeColor="text1"/>
              </w:rPr>
            </w:pPr>
            <w:r w:rsidRPr="00D71E16">
              <w:rPr>
                <w:color w:val="000000" w:themeColor="text1"/>
              </w:rPr>
              <w:t>14</w:t>
            </w:r>
          </w:p>
        </w:tc>
        <w:tc>
          <w:tcPr>
            <w:tcW w:w="5387" w:type="dxa"/>
          </w:tcPr>
          <w:p w14:paraId="579E3C76" w14:textId="76FE6C2D" w:rsidR="004054B2" w:rsidRDefault="004054B2" w:rsidP="004054B2">
            <w:r>
              <w:t>- ZZL nog een keer opgesplitst en als 1 GIO proberen</w:t>
            </w:r>
          </w:p>
          <w:p w14:paraId="6C8255FB" w14:textId="73AE0B8F" w:rsidR="004054B2" w:rsidRDefault="004054B2" w:rsidP="004054B2">
            <w:r>
              <w:t xml:space="preserve">- Rijnland </w:t>
            </w:r>
          </w:p>
          <w:p w14:paraId="4459968A" w14:textId="5884A4AB" w:rsidR="00367732" w:rsidRDefault="004054B2" w:rsidP="004054B2">
            <w:r>
              <w:t>- RES Zeeland</w:t>
            </w:r>
          </w:p>
        </w:tc>
        <w:tc>
          <w:tcPr>
            <w:tcW w:w="1984" w:type="dxa"/>
          </w:tcPr>
          <w:p w14:paraId="3BF10154" w14:textId="28BA32D3" w:rsidR="004054B2" w:rsidRDefault="004054B2" w:rsidP="00BD3061"/>
        </w:tc>
        <w:tc>
          <w:tcPr>
            <w:tcW w:w="1129" w:type="dxa"/>
          </w:tcPr>
          <w:p w14:paraId="27CCBB26" w14:textId="2F7B764A" w:rsidR="00367732" w:rsidRDefault="00367732" w:rsidP="00BD3061"/>
        </w:tc>
      </w:tr>
      <w:tr w:rsidR="00367732" w14:paraId="682959FF" w14:textId="77777777" w:rsidTr="00D71E16">
        <w:tc>
          <w:tcPr>
            <w:tcW w:w="562" w:type="dxa"/>
          </w:tcPr>
          <w:p w14:paraId="5BDA5802" w14:textId="4A50C289" w:rsidR="00367732" w:rsidRPr="00D71E16" w:rsidRDefault="00D71E16" w:rsidP="00D71E16">
            <w:pPr>
              <w:rPr>
                <w:color w:val="000000" w:themeColor="text1"/>
              </w:rPr>
            </w:pPr>
            <w:r w:rsidRPr="00D71E16">
              <w:rPr>
                <w:color w:val="000000" w:themeColor="text1"/>
              </w:rPr>
              <w:t>15</w:t>
            </w:r>
          </w:p>
        </w:tc>
        <w:tc>
          <w:tcPr>
            <w:tcW w:w="5387" w:type="dxa"/>
          </w:tcPr>
          <w:p w14:paraId="626F1DAA" w14:textId="0E1EA619" w:rsidR="00367732" w:rsidRDefault="00D71E16" w:rsidP="00BD3061">
            <w:r>
              <w:t>Denken over</w:t>
            </w:r>
            <w:r w:rsidR="00B97848">
              <w:t xml:space="preserve"> mogelijke procesaanpassingen</w:t>
            </w:r>
            <w:r w:rsidR="00253371">
              <w:t xml:space="preserve"> </w:t>
            </w:r>
            <w:r>
              <w:t>als technische optimalisatie niet lukt (op agenda 28/10)</w:t>
            </w:r>
          </w:p>
        </w:tc>
        <w:tc>
          <w:tcPr>
            <w:tcW w:w="1984" w:type="dxa"/>
          </w:tcPr>
          <w:p w14:paraId="5BD1F3E6" w14:textId="0A3CA232" w:rsidR="00367732" w:rsidRDefault="00367732" w:rsidP="00BD3061"/>
        </w:tc>
        <w:tc>
          <w:tcPr>
            <w:tcW w:w="1129" w:type="dxa"/>
          </w:tcPr>
          <w:p w14:paraId="2086A309" w14:textId="77777777" w:rsidR="00367732" w:rsidRDefault="00367732" w:rsidP="00BD3061"/>
        </w:tc>
      </w:tr>
    </w:tbl>
    <w:p w14:paraId="1FFAA68B" w14:textId="2A50270F" w:rsidR="00EB1D4E" w:rsidRDefault="00EB1D4E" w:rsidP="00253371"/>
    <w:p w14:paraId="5FF739DF" w14:textId="2A740E88" w:rsidR="00DF752C" w:rsidRDefault="00DF752C" w:rsidP="00253371"/>
    <w:p w14:paraId="415E4E2C" w14:textId="2B6B460F" w:rsidR="00DF752C" w:rsidRDefault="00DF752C" w:rsidP="00253371">
      <w:r>
        <w:t>Afgesloten acties:</w:t>
      </w:r>
    </w:p>
    <w:tbl>
      <w:tblPr>
        <w:tblStyle w:val="Tabelraster"/>
        <w:tblW w:w="9072" w:type="dxa"/>
        <w:tblInd w:w="-5" w:type="dxa"/>
        <w:tblLook w:val="04A0" w:firstRow="1" w:lastRow="0" w:firstColumn="1" w:lastColumn="0" w:noHBand="0" w:noVBand="1"/>
      </w:tblPr>
      <w:tblGrid>
        <w:gridCol w:w="567"/>
        <w:gridCol w:w="5387"/>
        <w:gridCol w:w="1984"/>
        <w:gridCol w:w="12"/>
        <w:gridCol w:w="1122"/>
      </w:tblGrid>
      <w:tr w:rsidR="00DF752C" w:rsidRPr="00445983" w14:paraId="65F4DEC8" w14:textId="77777777" w:rsidTr="00D71E16">
        <w:tc>
          <w:tcPr>
            <w:tcW w:w="567" w:type="dxa"/>
          </w:tcPr>
          <w:p w14:paraId="43D1513D" w14:textId="77777777" w:rsidR="00DF752C" w:rsidRPr="00445983" w:rsidRDefault="00DF752C" w:rsidP="00B66A14">
            <w:pPr>
              <w:rPr>
                <w:b/>
                <w:bCs/>
              </w:rPr>
            </w:pPr>
          </w:p>
        </w:tc>
        <w:tc>
          <w:tcPr>
            <w:tcW w:w="5387" w:type="dxa"/>
          </w:tcPr>
          <w:p w14:paraId="5026756A" w14:textId="77777777" w:rsidR="00DF752C" w:rsidRPr="00445983" w:rsidRDefault="00DF752C" w:rsidP="00B66A14">
            <w:pPr>
              <w:rPr>
                <w:b/>
                <w:bCs/>
              </w:rPr>
            </w:pPr>
            <w:r w:rsidRPr="00445983">
              <w:rPr>
                <w:b/>
                <w:bCs/>
              </w:rPr>
              <w:t>Actie</w:t>
            </w:r>
          </w:p>
        </w:tc>
        <w:tc>
          <w:tcPr>
            <w:tcW w:w="1996" w:type="dxa"/>
            <w:gridSpan w:val="2"/>
          </w:tcPr>
          <w:p w14:paraId="6E733EB1" w14:textId="77777777" w:rsidR="00DF752C" w:rsidRPr="00445983" w:rsidRDefault="00DF752C" w:rsidP="00B66A14">
            <w:pPr>
              <w:rPr>
                <w:b/>
                <w:bCs/>
              </w:rPr>
            </w:pPr>
            <w:r w:rsidRPr="00445983">
              <w:rPr>
                <w:b/>
                <w:bCs/>
              </w:rPr>
              <w:t>Wie</w:t>
            </w:r>
          </w:p>
        </w:tc>
        <w:tc>
          <w:tcPr>
            <w:tcW w:w="1122" w:type="dxa"/>
          </w:tcPr>
          <w:p w14:paraId="56390EAD" w14:textId="77777777" w:rsidR="00DF752C" w:rsidRPr="00445983" w:rsidRDefault="00DF752C" w:rsidP="00B66A14">
            <w:pPr>
              <w:rPr>
                <w:b/>
                <w:bCs/>
              </w:rPr>
            </w:pPr>
            <w:r w:rsidRPr="00445983">
              <w:rPr>
                <w:b/>
                <w:bCs/>
              </w:rPr>
              <w:t>Gereed</w:t>
            </w:r>
          </w:p>
        </w:tc>
      </w:tr>
      <w:tr w:rsidR="00DF752C" w:rsidRPr="00C11F38" w14:paraId="1C333F37" w14:textId="77777777" w:rsidTr="00D71E16">
        <w:tc>
          <w:tcPr>
            <w:tcW w:w="567" w:type="dxa"/>
          </w:tcPr>
          <w:p w14:paraId="7E1399FC" w14:textId="11C1C05B" w:rsidR="00DF752C" w:rsidRPr="00D71E16" w:rsidRDefault="00DF752C" w:rsidP="00D71E16">
            <w:pPr>
              <w:rPr>
                <w:color w:val="A6A6A6" w:themeColor="background1" w:themeShade="A6"/>
              </w:rPr>
            </w:pPr>
            <w:r w:rsidRPr="00D71E16">
              <w:rPr>
                <w:color w:val="A6A6A6" w:themeColor="background1" w:themeShade="A6"/>
              </w:rPr>
              <w:t>1</w:t>
            </w:r>
          </w:p>
        </w:tc>
        <w:tc>
          <w:tcPr>
            <w:tcW w:w="5387" w:type="dxa"/>
          </w:tcPr>
          <w:p w14:paraId="51075800" w14:textId="77777777" w:rsidR="00DF752C" w:rsidRPr="00D71E16" w:rsidRDefault="00DF752C" w:rsidP="00D71E16">
            <w:pPr>
              <w:rPr>
                <w:color w:val="A6A6A6" w:themeColor="background1" w:themeShade="A6"/>
              </w:rPr>
            </w:pPr>
            <w:r w:rsidRPr="00D71E16">
              <w:rPr>
                <w:color w:val="A6A6A6" w:themeColor="background1" w:themeShade="A6"/>
              </w:rPr>
              <w:t>Wat levert minder geometrieën op? Dit aan de hand van Rijnland. Statistieken opstellen Rijnland - hoeveel was er en hoeveel kan zo'n actie opleveren? Hoeveel werk is daar in gaan zitten?</w:t>
            </w:r>
          </w:p>
        </w:tc>
        <w:tc>
          <w:tcPr>
            <w:tcW w:w="1996" w:type="dxa"/>
            <w:gridSpan w:val="2"/>
          </w:tcPr>
          <w:p w14:paraId="21C7D0CB" w14:textId="53270DF6" w:rsidR="00DF752C" w:rsidRPr="00C11F38" w:rsidRDefault="00DF752C" w:rsidP="00B66A14">
            <w:pPr>
              <w:rPr>
                <w:color w:val="808080" w:themeColor="background1" w:themeShade="80"/>
              </w:rPr>
            </w:pPr>
          </w:p>
        </w:tc>
        <w:tc>
          <w:tcPr>
            <w:tcW w:w="1122" w:type="dxa"/>
          </w:tcPr>
          <w:p w14:paraId="09A1B897"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F752C" w:rsidRPr="00C11F38" w14:paraId="7700B202" w14:textId="77777777" w:rsidTr="00D71E16">
        <w:tc>
          <w:tcPr>
            <w:tcW w:w="567" w:type="dxa"/>
          </w:tcPr>
          <w:p w14:paraId="750CE9F5" w14:textId="5689692F" w:rsidR="00DF752C" w:rsidRPr="00D71E16" w:rsidRDefault="00DF752C" w:rsidP="00D71E16">
            <w:pPr>
              <w:rPr>
                <w:color w:val="A6A6A6" w:themeColor="background1" w:themeShade="A6"/>
              </w:rPr>
            </w:pPr>
            <w:r w:rsidRPr="00D71E16">
              <w:rPr>
                <w:color w:val="A6A6A6" w:themeColor="background1" w:themeShade="A6"/>
              </w:rPr>
              <w:t>2</w:t>
            </w:r>
          </w:p>
        </w:tc>
        <w:tc>
          <w:tcPr>
            <w:tcW w:w="5387" w:type="dxa"/>
          </w:tcPr>
          <w:p w14:paraId="0B785910" w14:textId="77777777" w:rsidR="00DF752C" w:rsidRPr="00D71E16" w:rsidRDefault="00DF752C" w:rsidP="00D71E16">
            <w:pPr>
              <w:rPr>
                <w:color w:val="A6A6A6" w:themeColor="background1" w:themeShade="A6"/>
              </w:rPr>
            </w:pPr>
            <w:r w:rsidRPr="00D71E16">
              <w:rPr>
                <w:color w:val="A6A6A6" w:themeColor="background1" w:themeShade="A6"/>
              </w:rPr>
              <w:t xml:space="preserve">Aanleveren bouwvlakken van een gemeente als multigemometrie, losse lokaties en lokatiegroepen </w:t>
            </w:r>
          </w:p>
        </w:tc>
        <w:tc>
          <w:tcPr>
            <w:tcW w:w="1996" w:type="dxa"/>
            <w:gridSpan w:val="2"/>
          </w:tcPr>
          <w:p w14:paraId="22FD746F" w14:textId="1C4F803E" w:rsidR="00DF752C" w:rsidRPr="00C11F38" w:rsidRDefault="00DF752C" w:rsidP="00B66A14">
            <w:pPr>
              <w:rPr>
                <w:color w:val="808080" w:themeColor="background1" w:themeShade="80"/>
              </w:rPr>
            </w:pPr>
          </w:p>
        </w:tc>
        <w:tc>
          <w:tcPr>
            <w:tcW w:w="1122" w:type="dxa"/>
          </w:tcPr>
          <w:p w14:paraId="706893F3"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F752C" w:rsidRPr="00C11F38" w14:paraId="6FFC04A1" w14:textId="77777777" w:rsidTr="00D71E16">
        <w:tc>
          <w:tcPr>
            <w:tcW w:w="567" w:type="dxa"/>
          </w:tcPr>
          <w:p w14:paraId="70B9E3BF" w14:textId="6E7FF76C" w:rsidR="00DF752C" w:rsidRPr="00D71E16" w:rsidRDefault="00DF752C" w:rsidP="00DF752C">
            <w:pPr>
              <w:rPr>
                <w:color w:val="A6A6A6" w:themeColor="background1" w:themeShade="A6"/>
              </w:rPr>
            </w:pPr>
            <w:r w:rsidRPr="00D71E16">
              <w:rPr>
                <w:color w:val="A6A6A6" w:themeColor="background1" w:themeShade="A6"/>
              </w:rPr>
              <w:t>3</w:t>
            </w:r>
          </w:p>
        </w:tc>
        <w:tc>
          <w:tcPr>
            <w:tcW w:w="5387" w:type="dxa"/>
          </w:tcPr>
          <w:p w14:paraId="2662FB51" w14:textId="77777777" w:rsidR="00DF752C" w:rsidRPr="00D71E16" w:rsidRDefault="00DF752C" w:rsidP="00B66A14">
            <w:pPr>
              <w:rPr>
                <w:color w:val="A6A6A6" w:themeColor="background1" w:themeShade="A6"/>
              </w:rPr>
            </w:pPr>
            <w:r w:rsidRPr="00D71E16">
              <w:rPr>
                <w:color w:val="A6A6A6" w:themeColor="background1" w:themeShade="A6"/>
              </w:rPr>
              <w:t>Aanleveren geometry collection</w:t>
            </w:r>
          </w:p>
        </w:tc>
        <w:tc>
          <w:tcPr>
            <w:tcW w:w="1996" w:type="dxa"/>
            <w:gridSpan w:val="2"/>
          </w:tcPr>
          <w:p w14:paraId="3E501FAD" w14:textId="30F79740" w:rsidR="00DF752C" w:rsidRPr="00C11F38" w:rsidRDefault="00DF752C" w:rsidP="00B66A14">
            <w:pPr>
              <w:rPr>
                <w:color w:val="808080" w:themeColor="background1" w:themeShade="80"/>
              </w:rPr>
            </w:pPr>
          </w:p>
        </w:tc>
        <w:tc>
          <w:tcPr>
            <w:tcW w:w="1122" w:type="dxa"/>
          </w:tcPr>
          <w:p w14:paraId="22DC141B"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71E16" w:rsidRPr="00C11F38" w14:paraId="77E90FA4" w14:textId="77777777" w:rsidTr="00D71E16">
        <w:tc>
          <w:tcPr>
            <w:tcW w:w="567" w:type="dxa"/>
          </w:tcPr>
          <w:p w14:paraId="324A96DD" w14:textId="3E43DC6D" w:rsidR="00DF752C" w:rsidRPr="00D71E16" w:rsidRDefault="00DF752C" w:rsidP="00D71E16">
            <w:pPr>
              <w:rPr>
                <w:color w:val="A6A6A6" w:themeColor="background1" w:themeShade="A6"/>
              </w:rPr>
            </w:pPr>
            <w:r w:rsidRPr="00D71E16">
              <w:rPr>
                <w:color w:val="A6A6A6" w:themeColor="background1" w:themeShade="A6"/>
              </w:rPr>
              <w:t>4</w:t>
            </w:r>
          </w:p>
        </w:tc>
        <w:tc>
          <w:tcPr>
            <w:tcW w:w="5387" w:type="dxa"/>
          </w:tcPr>
          <w:p w14:paraId="728A7838" w14:textId="77777777" w:rsidR="00DF752C" w:rsidRPr="00C11F38" w:rsidRDefault="00DF752C" w:rsidP="00B66A14">
            <w:pPr>
              <w:rPr>
                <w:color w:val="808080" w:themeColor="background1" w:themeShade="80"/>
              </w:rPr>
            </w:pPr>
            <w:r w:rsidRPr="00C11F38">
              <w:rPr>
                <w:color w:val="808080" w:themeColor="background1" w:themeShade="80"/>
              </w:rPr>
              <w:t>Bovengenoemde sets proberen te laden op de ACC (voor sommige opties moet een aantal validatieregels uitgezet worden)</w:t>
            </w:r>
          </w:p>
        </w:tc>
        <w:tc>
          <w:tcPr>
            <w:tcW w:w="1984" w:type="dxa"/>
          </w:tcPr>
          <w:p w14:paraId="4532F7AD" w14:textId="25724C17" w:rsidR="00DF752C" w:rsidRPr="00C11F38" w:rsidRDefault="00DF752C" w:rsidP="00B66A14">
            <w:pPr>
              <w:rPr>
                <w:color w:val="808080" w:themeColor="background1" w:themeShade="80"/>
              </w:rPr>
            </w:pPr>
          </w:p>
        </w:tc>
        <w:tc>
          <w:tcPr>
            <w:tcW w:w="1134" w:type="dxa"/>
            <w:gridSpan w:val="2"/>
          </w:tcPr>
          <w:p w14:paraId="4F548116"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rsidRPr="00C11F38" w14:paraId="260790D4" w14:textId="77777777" w:rsidTr="00D71E16">
        <w:tc>
          <w:tcPr>
            <w:tcW w:w="567" w:type="dxa"/>
          </w:tcPr>
          <w:p w14:paraId="430A00F0" w14:textId="4C6C148B" w:rsidR="00DF752C" w:rsidRPr="00D71E16" w:rsidRDefault="00DF752C" w:rsidP="00D71E16">
            <w:pPr>
              <w:rPr>
                <w:color w:val="A6A6A6" w:themeColor="background1" w:themeShade="A6"/>
              </w:rPr>
            </w:pPr>
            <w:r w:rsidRPr="00D71E16">
              <w:rPr>
                <w:color w:val="A6A6A6" w:themeColor="background1" w:themeShade="A6"/>
              </w:rPr>
              <w:t>5</w:t>
            </w:r>
          </w:p>
        </w:tc>
        <w:tc>
          <w:tcPr>
            <w:tcW w:w="5387" w:type="dxa"/>
          </w:tcPr>
          <w:p w14:paraId="71D2C27D" w14:textId="77777777" w:rsidR="00DF752C" w:rsidRPr="00C11F38" w:rsidRDefault="00DF752C" w:rsidP="00B66A14">
            <w:pPr>
              <w:rPr>
                <w:color w:val="808080" w:themeColor="background1" w:themeShade="80"/>
              </w:rPr>
            </w:pPr>
            <w:r w:rsidRPr="00C11F38">
              <w:rPr>
                <w:color w:val="808080" w:themeColor="background1" w:themeShade="80"/>
              </w:rPr>
              <w:t>Check of de geometry collection onderscheidend is tav multigeometrie en of dat is toegestaan</w:t>
            </w:r>
          </w:p>
          <w:p w14:paraId="3D7C244E" w14:textId="77777777" w:rsidR="00DF752C" w:rsidRPr="00C11F38" w:rsidRDefault="00DF752C" w:rsidP="00B66A14">
            <w:pPr>
              <w:rPr>
                <w:color w:val="808080" w:themeColor="background1" w:themeShade="80"/>
              </w:rPr>
            </w:pPr>
          </w:p>
        </w:tc>
        <w:tc>
          <w:tcPr>
            <w:tcW w:w="1984" w:type="dxa"/>
          </w:tcPr>
          <w:p w14:paraId="5E899794" w14:textId="2CDDE007" w:rsidR="00DF752C" w:rsidRPr="00C11F38" w:rsidRDefault="00DF752C" w:rsidP="00B66A14">
            <w:pPr>
              <w:rPr>
                <w:color w:val="808080" w:themeColor="background1" w:themeShade="80"/>
              </w:rPr>
            </w:pPr>
          </w:p>
        </w:tc>
        <w:tc>
          <w:tcPr>
            <w:tcW w:w="1134" w:type="dxa"/>
            <w:gridSpan w:val="2"/>
          </w:tcPr>
          <w:p w14:paraId="5F890166"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rsidRPr="00C11F38" w14:paraId="6D52EC3E" w14:textId="77777777" w:rsidTr="00D71E16">
        <w:tc>
          <w:tcPr>
            <w:tcW w:w="567" w:type="dxa"/>
          </w:tcPr>
          <w:p w14:paraId="0B4BE8A4" w14:textId="1864CD29" w:rsidR="00DF752C" w:rsidRPr="00D71E16" w:rsidRDefault="00DF752C" w:rsidP="00D71E16">
            <w:pPr>
              <w:rPr>
                <w:color w:val="A6A6A6" w:themeColor="background1" w:themeShade="A6"/>
              </w:rPr>
            </w:pPr>
            <w:r w:rsidRPr="00D71E16">
              <w:rPr>
                <w:color w:val="A6A6A6" w:themeColor="background1" w:themeShade="A6"/>
              </w:rPr>
              <w:lastRenderedPageBreak/>
              <w:t>6</w:t>
            </w:r>
          </w:p>
        </w:tc>
        <w:tc>
          <w:tcPr>
            <w:tcW w:w="5387" w:type="dxa"/>
          </w:tcPr>
          <w:p w14:paraId="7A2883F6" w14:textId="77777777" w:rsidR="00DF752C" w:rsidRPr="00C11F38" w:rsidRDefault="00DF752C" w:rsidP="00B66A14">
            <w:pPr>
              <w:rPr>
                <w:color w:val="808080" w:themeColor="background1" w:themeShade="80"/>
              </w:rPr>
            </w:pPr>
            <w:r w:rsidRPr="00C11F38">
              <w:rPr>
                <w:color w:val="808080" w:themeColor="background1" w:themeShade="80"/>
              </w:rPr>
              <w:t>Uitwerking van een aantal mogelijkheden in de standaard op papier, waaronder de mogelijkheden voor simple features; meerdere normen in een GIO; meer relaties leggen in STOP</w:t>
            </w:r>
          </w:p>
          <w:p w14:paraId="7F5B70E5" w14:textId="77777777" w:rsidR="00DF752C" w:rsidRPr="00C11F38" w:rsidRDefault="00DF752C" w:rsidP="00B66A14">
            <w:pPr>
              <w:rPr>
                <w:color w:val="808080" w:themeColor="background1" w:themeShade="80"/>
              </w:rPr>
            </w:pPr>
          </w:p>
        </w:tc>
        <w:tc>
          <w:tcPr>
            <w:tcW w:w="1984" w:type="dxa"/>
          </w:tcPr>
          <w:p w14:paraId="7206FD32" w14:textId="56E845EE" w:rsidR="00DF752C" w:rsidRPr="00C11F38" w:rsidRDefault="00DF752C" w:rsidP="00B66A14">
            <w:pPr>
              <w:rPr>
                <w:color w:val="808080" w:themeColor="background1" w:themeShade="80"/>
              </w:rPr>
            </w:pPr>
          </w:p>
        </w:tc>
        <w:tc>
          <w:tcPr>
            <w:tcW w:w="1134" w:type="dxa"/>
            <w:gridSpan w:val="2"/>
          </w:tcPr>
          <w:p w14:paraId="112C58AF"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14:paraId="634CB1CC" w14:textId="77777777" w:rsidTr="00D71E16">
        <w:tc>
          <w:tcPr>
            <w:tcW w:w="567" w:type="dxa"/>
          </w:tcPr>
          <w:p w14:paraId="4416B85B" w14:textId="77777777" w:rsidR="00D71E16" w:rsidRDefault="00D71E16" w:rsidP="00B66A14">
            <w:r w:rsidRPr="00D71E16">
              <w:rPr>
                <w:color w:val="A6A6A6" w:themeColor="background1" w:themeShade="A6"/>
              </w:rPr>
              <w:t>7</w:t>
            </w:r>
          </w:p>
        </w:tc>
        <w:tc>
          <w:tcPr>
            <w:tcW w:w="5387" w:type="dxa"/>
          </w:tcPr>
          <w:p w14:paraId="36AB671C" w14:textId="77777777" w:rsidR="00D71E16" w:rsidRPr="00D71E16" w:rsidRDefault="00D71E16" w:rsidP="00B66A14">
            <w:pPr>
              <w:rPr>
                <w:color w:val="A6A6A6" w:themeColor="background1" w:themeShade="A6"/>
              </w:rPr>
            </w:pPr>
            <w:r w:rsidRPr="00D71E16">
              <w:rPr>
                <w:color w:val="A6A6A6" w:themeColor="background1" w:themeShade="A6"/>
              </w:rPr>
              <w:t>Analyse knippen van geometrieën oa met behulp van XSLT van Landgoed</w:t>
            </w:r>
          </w:p>
        </w:tc>
        <w:tc>
          <w:tcPr>
            <w:tcW w:w="1984" w:type="dxa"/>
          </w:tcPr>
          <w:p w14:paraId="689F64CD" w14:textId="27CFB00D" w:rsidR="00D71E16" w:rsidRPr="00D71E16" w:rsidRDefault="00D71E16" w:rsidP="00B66A14">
            <w:pPr>
              <w:rPr>
                <w:color w:val="A6A6A6" w:themeColor="background1" w:themeShade="A6"/>
              </w:rPr>
            </w:pPr>
          </w:p>
        </w:tc>
        <w:tc>
          <w:tcPr>
            <w:tcW w:w="1134" w:type="dxa"/>
            <w:gridSpan w:val="2"/>
          </w:tcPr>
          <w:p w14:paraId="45EAFF30" w14:textId="77777777" w:rsidR="00D71E16" w:rsidRPr="00D71E16" w:rsidRDefault="00D71E16" w:rsidP="00B66A14">
            <w:pPr>
              <w:rPr>
                <w:color w:val="A6A6A6" w:themeColor="background1" w:themeShade="A6"/>
              </w:rPr>
            </w:pPr>
            <w:r w:rsidRPr="00D71E16">
              <w:rPr>
                <w:color w:val="A6A6A6" w:themeColor="background1" w:themeShade="A6"/>
              </w:rPr>
              <w:t>21-10-21</w:t>
            </w:r>
          </w:p>
        </w:tc>
      </w:tr>
      <w:tr w:rsidR="00D71E16" w:rsidRPr="009D1221" w14:paraId="615DB956" w14:textId="77777777" w:rsidTr="00D71E16">
        <w:tc>
          <w:tcPr>
            <w:tcW w:w="567" w:type="dxa"/>
          </w:tcPr>
          <w:p w14:paraId="104DC564" w14:textId="77777777" w:rsidR="00D71E16" w:rsidRPr="009D1221" w:rsidRDefault="00D71E16" w:rsidP="00B66A14">
            <w:pPr>
              <w:rPr>
                <w:color w:val="A6A6A6" w:themeColor="background1" w:themeShade="A6"/>
              </w:rPr>
            </w:pPr>
            <w:r>
              <w:rPr>
                <w:color w:val="A6A6A6" w:themeColor="background1" w:themeShade="A6"/>
              </w:rPr>
              <w:t>8</w:t>
            </w:r>
          </w:p>
        </w:tc>
        <w:tc>
          <w:tcPr>
            <w:tcW w:w="5387" w:type="dxa"/>
          </w:tcPr>
          <w:p w14:paraId="129A3E7C" w14:textId="0BC2B825" w:rsidR="00D71E16" w:rsidRPr="009D1221" w:rsidRDefault="00D71E16" w:rsidP="00B66A14">
            <w:pPr>
              <w:rPr>
                <w:color w:val="A6A6A6" w:themeColor="background1" w:themeShade="A6"/>
              </w:rPr>
            </w:pPr>
            <w:r w:rsidRPr="009D1221">
              <w:rPr>
                <w:color w:val="A6A6A6" w:themeColor="background1" w:themeShade="A6"/>
              </w:rPr>
              <w:t>Aanleveren losse locaties-set aan M</w:t>
            </w:r>
            <w:r w:rsidR="00D93305">
              <w:rPr>
                <w:color w:val="A6A6A6" w:themeColor="background1" w:themeShade="A6"/>
              </w:rPr>
              <w:t>D</w:t>
            </w:r>
          </w:p>
        </w:tc>
        <w:tc>
          <w:tcPr>
            <w:tcW w:w="1984" w:type="dxa"/>
          </w:tcPr>
          <w:p w14:paraId="425BD484" w14:textId="65A1AE79" w:rsidR="00D71E16" w:rsidRPr="009D1221" w:rsidRDefault="00D71E16" w:rsidP="00B66A14">
            <w:pPr>
              <w:rPr>
                <w:color w:val="A6A6A6" w:themeColor="background1" w:themeShade="A6"/>
              </w:rPr>
            </w:pPr>
          </w:p>
        </w:tc>
        <w:tc>
          <w:tcPr>
            <w:tcW w:w="1134" w:type="dxa"/>
            <w:gridSpan w:val="2"/>
          </w:tcPr>
          <w:p w14:paraId="57F4B201"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4E1F41FD" w14:textId="77777777" w:rsidTr="00D71E16">
        <w:tc>
          <w:tcPr>
            <w:tcW w:w="567" w:type="dxa"/>
          </w:tcPr>
          <w:p w14:paraId="639C0470" w14:textId="77777777" w:rsidR="00D71E16" w:rsidRPr="009D1221" w:rsidRDefault="00D71E16" w:rsidP="00B66A14">
            <w:pPr>
              <w:rPr>
                <w:color w:val="A6A6A6" w:themeColor="background1" w:themeShade="A6"/>
              </w:rPr>
            </w:pPr>
            <w:r>
              <w:rPr>
                <w:color w:val="A6A6A6" w:themeColor="background1" w:themeShade="A6"/>
              </w:rPr>
              <w:t>9</w:t>
            </w:r>
          </w:p>
        </w:tc>
        <w:tc>
          <w:tcPr>
            <w:tcW w:w="5387" w:type="dxa"/>
          </w:tcPr>
          <w:p w14:paraId="7363219D" w14:textId="18534430" w:rsidR="00D71E16" w:rsidRPr="009D1221" w:rsidRDefault="00D71E16" w:rsidP="00B66A14">
            <w:pPr>
              <w:rPr>
                <w:color w:val="A6A6A6" w:themeColor="background1" w:themeShade="A6"/>
              </w:rPr>
            </w:pPr>
            <w:r w:rsidRPr="009D1221">
              <w:rPr>
                <w:color w:val="A6A6A6" w:themeColor="background1" w:themeShade="A6"/>
              </w:rPr>
              <w:t>Aanleveren losse locaties-set Zuiderzeeland aan M</w:t>
            </w:r>
            <w:r w:rsidR="00D93305">
              <w:rPr>
                <w:color w:val="A6A6A6" w:themeColor="background1" w:themeShade="A6"/>
              </w:rPr>
              <w:t>D</w:t>
            </w:r>
          </w:p>
        </w:tc>
        <w:tc>
          <w:tcPr>
            <w:tcW w:w="1984" w:type="dxa"/>
          </w:tcPr>
          <w:p w14:paraId="3D0D7793" w14:textId="06AF4A4D" w:rsidR="00D71E16" w:rsidRPr="009D1221" w:rsidRDefault="00D71E16" w:rsidP="00B66A14">
            <w:pPr>
              <w:rPr>
                <w:color w:val="A6A6A6" w:themeColor="background1" w:themeShade="A6"/>
              </w:rPr>
            </w:pPr>
          </w:p>
        </w:tc>
        <w:tc>
          <w:tcPr>
            <w:tcW w:w="1134" w:type="dxa"/>
            <w:gridSpan w:val="2"/>
          </w:tcPr>
          <w:p w14:paraId="48B11FD6"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542E11A9" w14:textId="77777777" w:rsidTr="00D71E16">
        <w:tc>
          <w:tcPr>
            <w:tcW w:w="567" w:type="dxa"/>
          </w:tcPr>
          <w:p w14:paraId="20335A4F" w14:textId="77777777" w:rsidR="00D71E16" w:rsidRPr="009D1221" w:rsidRDefault="00D71E16" w:rsidP="00B66A14">
            <w:pPr>
              <w:rPr>
                <w:color w:val="A6A6A6" w:themeColor="background1" w:themeShade="A6"/>
              </w:rPr>
            </w:pPr>
            <w:r>
              <w:rPr>
                <w:color w:val="A6A6A6" w:themeColor="background1" w:themeShade="A6"/>
              </w:rPr>
              <w:t>10</w:t>
            </w:r>
          </w:p>
        </w:tc>
        <w:tc>
          <w:tcPr>
            <w:tcW w:w="5387" w:type="dxa"/>
          </w:tcPr>
          <w:p w14:paraId="6D1C428B" w14:textId="77777777" w:rsidR="00D71E16" w:rsidRPr="009D1221" w:rsidRDefault="00D71E16" w:rsidP="00B66A14">
            <w:pPr>
              <w:rPr>
                <w:color w:val="A6A6A6" w:themeColor="background1" w:themeShade="A6"/>
              </w:rPr>
            </w:pPr>
            <w:r w:rsidRPr="009D1221">
              <w:rPr>
                <w:color w:val="A6A6A6" w:themeColor="background1" w:themeShade="A6"/>
              </w:rPr>
              <w:t>Aanbieden twee sets aan OZON</w:t>
            </w:r>
          </w:p>
        </w:tc>
        <w:tc>
          <w:tcPr>
            <w:tcW w:w="1984" w:type="dxa"/>
          </w:tcPr>
          <w:p w14:paraId="7031B106" w14:textId="0DC2267F" w:rsidR="00D71E16" w:rsidRPr="009D1221" w:rsidRDefault="00D71E16" w:rsidP="00B66A14">
            <w:pPr>
              <w:rPr>
                <w:color w:val="A6A6A6" w:themeColor="background1" w:themeShade="A6"/>
              </w:rPr>
            </w:pPr>
          </w:p>
        </w:tc>
        <w:tc>
          <w:tcPr>
            <w:tcW w:w="1134" w:type="dxa"/>
            <w:gridSpan w:val="2"/>
          </w:tcPr>
          <w:p w14:paraId="3D612DFD" w14:textId="77777777" w:rsidR="00D71E16" w:rsidRPr="009D1221" w:rsidRDefault="00D71E16" w:rsidP="00B66A14">
            <w:pPr>
              <w:rPr>
                <w:color w:val="A6A6A6" w:themeColor="background1" w:themeShade="A6"/>
              </w:rPr>
            </w:pPr>
            <w:r w:rsidRPr="009D1221">
              <w:rPr>
                <w:color w:val="A6A6A6" w:themeColor="background1" w:themeShade="A6"/>
              </w:rPr>
              <w:t>15-10-21</w:t>
            </w:r>
          </w:p>
        </w:tc>
      </w:tr>
    </w:tbl>
    <w:p w14:paraId="4D6B736F" w14:textId="2E3835D4" w:rsidR="00DF752C" w:rsidRDefault="00DF752C" w:rsidP="00253371"/>
    <w:p w14:paraId="3D75CAF3" w14:textId="77777777" w:rsidR="00DF752C" w:rsidRDefault="00DF752C" w:rsidP="00253371"/>
    <w:sectPr w:rsidR="00DF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C1"/>
    <w:multiLevelType w:val="hybridMultilevel"/>
    <w:tmpl w:val="B2CE171C"/>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630ED"/>
    <w:multiLevelType w:val="hybridMultilevel"/>
    <w:tmpl w:val="87622FB8"/>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D2276"/>
    <w:multiLevelType w:val="hybridMultilevel"/>
    <w:tmpl w:val="06822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D417A"/>
    <w:multiLevelType w:val="hybridMultilevel"/>
    <w:tmpl w:val="CDBC3132"/>
    <w:lvl w:ilvl="0" w:tplc="4D1A778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0A6B44"/>
    <w:multiLevelType w:val="hybridMultilevel"/>
    <w:tmpl w:val="97A63CEE"/>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231A0"/>
    <w:multiLevelType w:val="hybridMultilevel"/>
    <w:tmpl w:val="E514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7C4066"/>
    <w:multiLevelType w:val="hybridMultilevel"/>
    <w:tmpl w:val="34F4CCE2"/>
    <w:lvl w:ilvl="0" w:tplc="874C13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BD23F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17742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183A9E"/>
    <w:multiLevelType w:val="hybridMultilevel"/>
    <w:tmpl w:val="75967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7"/>
  </w:num>
  <w:num w:numId="6">
    <w:abstractNumId w:val="0"/>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4E"/>
    <w:rsid w:val="00040333"/>
    <w:rsid w:val="00065768"/>
    <w:rsid w:val="000D5417"/>
    <w:rsid w:val="000D6A4E"/>
    <w:rsid w:val="001A6ACA"/>
    <w:rsid w:val="001B5C8E"/>
    <w:rsid w:val="001C67D8"/>
    <w:rsid w:val="001C7854"/>
    <w:rsid w:val="001E39B8"/>
    <w:rsid w:val="00203D8F"/>
    <w:rsid w:val="002207CA"/>
    <w:rsid w:val="00226D90"/>
    <w:rsid w:val="00230141"/>
    <w:rsid w:val="00230C1F"/>
    <w:rsid w:val="00232BB4"/>
    <w:rsid w:val="00243DA7"/>
    <w:rsid w:val="00252EDB"/>
    <w:rsid w:val="00253371"/>
    <w:rsid w:val="002657F0"/>
    <w:rsid w:val="002D192D"/>
    <w:rsid w:val="002F2F3B"/>
    <w:rsid w:val="0031693D"/>
    <w:rsid w:val="00335480"/>
    <w:rsid w:val="003412E1"/>
    <w:rsid w:val="00367732"/>
    <w:rsid w:val="00376A46"/>
    <w:rsid w:val="00383A1C"/>
    <w:rsid w:val="00390BAD"/>
    <w:rsid w:val="003A042F"/>
    <w:rsid w:val="003B6E9E"/>
    <w:rsid w:val="003F256A"/>
    <w:rsid w:val="003F289E"/>
    <w:rsid w:val="004054B2"/>
    <w:rsid w:val="00474B93"/>
    <w:rsid w:val="004808B7"/>
    <w:rsid w:val="00487E41"/>
    <w:rsid w:val="00492616"/>
    <w:rsid w:val="004A0982"/>
    <w:rsid w:val="004B0A5B"/>
    <w:rsid w:val="004B47AA"/>
    <w:rsid w:val="004E58D4"/>
    <w:rsid w:val="005760EF"/>
    <w:rsid w:val="005A31B9"/>
    <w:rsid w:val="005A614C"/>
    <w:rsid w:val="005F4E2F"/>
    <w:rsid w:val="006049A8"/>
    <w:rsid w:val="006641F4"/>
    <w:rsid w:val="006F79E0"/>
    <w:rsid w:val="007051CF"/>
    <w:rsid w:val="00731A88"/>
    <w:rsid w:val="007D2A95"/>
    <w:rsid w:val="007E5F02"/>
    <w:rsid w:val="007F0CBD"/>
    <w:rsid w:val="007F5C3B"/>
    <w:rsid w:val="00810C29"/>
    <w:rsid w:val="008949B3"/>
    <w:rsid w:val="008A3CBC"/>
    <w:rsid w:val="008A4CA4"/>
    <w:rsid w:val="008B64BE"/>
    <w:rsid w:val="00917DC4"/>
    <w:rsid w:val="009506FE"/>
    <w:rsid w:val="00965334"/>
    <w:rsid w:val="00984DB8"/>
    <w:rsid w:val="00985956"/>
    <w:rsid w:val="009D1221"/>
    <w:rsid w:val="00A02903"/>
    <w:rsid w:val="00A1465E"/>
    <w:rsid w:val="00A40442"/>
    <w:rsid w:val="00AA2B9C"/>
    <w:rsid w:val="00AC4DC8"/>
    <w:rsid w:val="00AC76FF"/>
    <w:rsid w:val="00B62689"/>
    <w:rsid w:val="00B72770"/>
    <w:rsid w:val="00B97848"/>
    <w:rsid w:val="00BA7586"/>
    <w:rsid w:val="00BC434D"/>
    <w:rsid w:val="00BD2184"/>
    <w:rsid w:val="00C04523"/>
    <w:rsid w:val="00C11F38"/>
    <w:rsid w:val="00C506E4"/>
    <w:rsid w:val="00C56705"/>
    <w:rsid w:val="00C606C8"/>
    <w:rsid w:val="00C63140"/>
    <w:rsid w:val="00C8245F"/>
    <w:rsid w:val="00C82809"/>
    <w:rsid w:val="00C868A2"/>
    <w:rsid w:val="00CB69D9"/>
    <w:rsid w:val="00CB7171"/>
    <w:rsid w:val="00CD6A92"/>
    <w:rsid w:val="00CE2120"/>
    <w:rsid w:val="00CE2C3B"/>
    <w:rsid w:val="00D50D3E"/>
    <w:rsid w:val="00D54727"/>
    <w:rsid w:val="00D63765"/>
    <w:rsid w:val="00D71E16"/>
    <w:rsid w:val="00D93305"/>
    <w:rsid w:val="00DF752C"/>
    <w:rsid w:val="00E07DE1"/>
    <w:rsid w:val="00E64FFB"/>
    <w:rsid w:val="00E82F84"/>
    <w:rsid w:val="00E86DD1"/>
    <w:rsid w:val="00EB1D4E"/>
    <w:rsid w:val="00ED7372"/>
    <w:rsid w:val="00F31FE3"/>
    <w:rsid w:val="00F367BF"/>
    <w:rsid w:val="00F5110D"/>
    <w:rsid w:val="00FA2A5D"/>
    <w:rsid w:val="00FC6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64FD"/>
  <w15:chartTrackingRefBased/>
  <w15:docId w15:val="{5F5A2275-D187-4F8E-A169-4E3797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D4E"/>
    <w:pPr>
      <w:ind w:left="720"/>
      <w:contextualSpacing/>
    </w:pPr>
  </w:style>
  <w:style w:type="table" w:styleId="Tabelraster">
    <w:name w:val="Table Grid"/>
    <w:basedOn w:val="Standaardtabel"/>
    <w:uiPriority w:val="39"/>
    <w:rsid w:val="00F5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85956"/>
    <w:rPr>
      <w:sz w:val="16"/>
      <w:szCs w:val="16"/>
    </w:rPr>
  </w:style>
  <w:style w:type="paragraph" w:styleId="Tekstopmerking">
    <w:name w:val="annotation text"/>
    <w:basedOn w:val="Standaard"/>
    <w:link w:val="TekstopmerkingChar"/>
    <w:uiPriority w:val="99"/>
    <w:semiHidden/>
    <w:unhideWhenUsed/>
    <w:rsid w:val="009859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956"/>
    <w:rPr>
      <w:sz w:val="20"/>
      <w:szCs w:val="20"/>
    </w:rPr>
  </w:style>
  <w:style w:type="paragraph" w:styleId="Onderwerpvanopmerking">
    <w:name w:val="annotation subject"/>
    <w:basedOn w:val="Tekstopmerking"/>
    <w:next w:val="Tekstopmerking"/>
    <w:link w:val="OnderwerpvanopmerkingChar"/>
    <w:uiPriority w:val="99"/>
    <w:semiHidden/>
    <w:unhideWhenUsed/>
    <w:rsid w:val="00985956"/>
    <w:rPr>
      <w:b/>
      <w:bCs/>
    </w:rPr>
  </w:style>
  <w:style w:type="character" w:customStyle="1" w:styleId="OnderwerpvanopmerkingChar">
    <w:name w:val="Onderwerp van opmerking Char"/>
    <w:basedOn w:val="TekstopmerkingChar"/>
    <w:link w:val="Onderwerpvanopmerking"/>
    <w:uiPriority w:val="99"/>
    <w:semiHidden/>
    <w:rsid w:val="00985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89826ACF2144F92633487015B30A1" ma:contentTypeVersion="11" ma:contentTypeDescription="Een nieuw document maken." ma:contentTypeScope="" ma:versionID="e53ef39a04f69d4a8c692c3b35aaae79">
  <xsd:schema xmlns:xsd="http://www.w3.org/2001/XMLSchema" xmlns:xs="http://www.w3.org/2001/XMLSchema" xmlns:p="http://schemas.microsoft.com/office/2006/metadata/properties" xmlns:ns2="47b72d85-645c-4135-9dc2-064ed6bbd60d" targetNamespace="http://schemas.microsoft.com/office/2006/metadata/properties" ma:root="true" ma:fieldsID="a4978c57d5dafca4d6a6a5ed0fa83425" ns2:_="">
    <xsd:import namespace="47b72d85-645c-4135-9dc2-064ed6bbd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2d85-645c-4135-9dc2-064ed6bbd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F3742-E46D-4E04-AD19-FF5BB3B990E0}">
  <ds:schemaRefs>
    <ds:schemaRef ds:uri="http://schemas.microsoft.com/sharepoint/v3/contenttype/forms"/>
  </ds:schemaRefs>
</ds:datastoreItem>
</file>

<file path=customXml/itemProps2.xml><?xml version="1.0" encoding="utf-8"?>
<ds:datastoreItem xmlns:ds="http://schemas.openxmlformats.org/officeDocument/2006/customXml" ds:itemID="{82367080-3424-4B09-92E1-196052E6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2d85-645c-4135-9dc2-064ed6bb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2CE9A-DB24-412F-A763-2BB59CE09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Van der Velde</dc:creator>
  <cp:keywords/>
  <dc:description/>
  <cp:lastModifiedBy>Ree, Mira de</cp:lastModifiedBy>
  <cp:revision>47</cp:revision>
  <dcterms:created xsi:type="dcterms:W3CDTF">2021-10-22T05:49:00Z</dcterms:created>
  <dcterms:modified xsi:type="dcterms:W3CDTF">2022-01-28T12:39:00Z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0x010100FEE89826ACF2144F92633487015B30A1</vt:lpwstr>
  </property>
</Properties>
</file>