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FB0" w14:textId="557C0340" w:rsidR="00F31FE3" w:rsidRDefault="002E3ABC" w:rsidP="00731A88">
      <w:pPr>
        <w:rPr>
          <w:b/>
          <w:bCs/>
        </w:rPr>
      </w:pPr>
      <w:r>
        <w:rPr>
          <w:b/>
          <w:bCs/>
        </w:rPr>
        <w:t>V</w:t>
      </w:r>
      <w:r w:rsidR="00B24924">
        <w:rPr>
          <w:b/>
          <w:bCs/>
        </w:rPr>
        <w:t>ijf</w:t>
      </w:r>
      <w:r>
        <w:rPr>
          <w:b/>
          <w:bCs/>
        </w:rPr>
        <w:t>de</w:t>
      </w:r>
      <w:r w:rsidR="00F31FE3" w:rsidRPr="00232BB4">
        <w:rPr>
          <w:b/>
          <w:bCs/>
        </w:rPr>
        <w:t xml:space="preserve"> </w:t>
      </w:r>
      <w:proofErr w:type="spellStart"/>
      <w:r w:rsidR="00F31FE3" w:rsidRPr="00232BB4">
        <w:rPr>
          <w:b/>
          <w:bCs/>
        </w:rPr>
        <w:t>geotaskforce</w:t>
      </w:r>
      <w:proofErr w:type="spellEnd"/>
      <w:r w:rsidR="003B6E9E">
        <w:rPr>
          <w:b/>
          <w:bCs/>
        </w:rPr>
        <w:t xml:space="preserve">, </w:t>
      </w:r>
      <w:r w:rsidR="00C65158">
        <w:rPr>
          <w:b/>
          <w:bCs/>
        </w:rPr>
        <w:t>4 n</w:t>
      </w:r>
      <w:r w:rsidR="003B6E9E">
        <w:rPr>
          <w:b/>
          <w:bCs/>
        </w:rPr>
        <w:t>o</w:t>
      </w:r>
      <w:r w:rsidR="00C65158">
        <w:rPr>
          <w:b/>
          <w:bCs/>
        </w:rPr>
        <w:t>vem</w:t>
      </w:r>
      <w:r w:rsidR="003B6E9E">
        <w:rPr>
          <w:b/>
          <w:bCs/>
        </w:rPr>
        <w:t>ber 2021</w:t>
      </w:r>
    </w:p>
    <w:p w14:paraId="3BE753BA" w14:textId="4582C943" w:rsidR="00EB1D4E" w:rsidRPr="00232BB4" w:rsidRDefault="00FA2A5D" w:rsidP="00EB1D4E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Analyse </w:t>
      </w:r>
      <w:r w:rsidR="00A565F4">
        <w:rPr>
          <w:b/>
          <w:bCs/>
        </w:rPr>
        <w:t>OZON</w:t>
      </w:r>
    </w:p>
    <w:p w14:paraId="3B629E6D" w14:textId="2E034F43" w:rsidR="00712AE3" w:rsidRDefault="00497ECF" w:rsidP="00712AE3">
      <w:r>
        <w:t xml:space="preserve">Alle processtappen zijn nu geanalyseerd. Overall leidt dit tot een terugdringen naar een verwerkingstijd van anderhalf uur. </w:t>
      </w:r>
      <w:r w:rsidR="000A2439">
        <w:t xml:space="preserve">(We kwamen van 12 uur.) </w:t>
      </w:r>
      <w:r w:rsidR="00B01516">
        <w:t xml:space="preserve">Dit geldt voor losse </w:t>
      </w:r>
      <w:proofErr w:type="spellStart"/>
      <w:r w:rsidR="00B01516">
        <w:t>geo’s</w:t>
      </w:r>
      <w:proofErr w:type="spellEnd"/>
      <w:r w:rsidR="00B01516">
        <w:t xml:space="preserve">. </w:t>
      </w:r>
      <w:r w:rsidR="000A2439">
        <w:t xml:space="preserve">Omdat we hebben gezegd dat we terug willen naar een kwartier, gaan de analyses door. </w:t>
      </w:r>
    </w:p>
    <w:p w14:paraId="500478E8" w14:textId="569F45A1" w:rsidR="00861BD3" w:rsidRDefault="00861BD3" w:rsidP="00712AE3"/>
    <w:p w14:paraId="373F1A2A" w14:textId="6290080E" w:rsidR="00861BD3" w:rsidRPr="001D5C44" w:rsidRDefault="00861BD3" w:rsidP="00861BD3">
      <w:pPr>
        <w:pStyle w:val="Lijstalinea"/>
        <w:numPr>
          <w:ilvl w:val="0"/>
          <w:numId w:val="2"/>
        </w:numPr>
        <w:rPr>
          <w:b/>
          <w:bCs/>
        </w:rPr>
      </w:pPr>
      <w:r w:rsidRPr="001D5C44">
        <w:rPr>
          <w:b/>
          <w:bCs/>
        </w:rPr>
        <w:t>Analyse viewer</w:t>
      </w:r>
    </w:p>
    <w:p w14:paraId="4A91F8BF" w14:textId="42F4940F" w:rsidR="00861BD3" w:rsidRDefault="00861BD3" w:rsidP="00861BD3">
      <w:r>
        <w:t xml:space="preserve">In de viewer wordt een voorbeeld met alle bouwhoogtes in de viewer bekeken. </w:t>
      </w:r>
      <w:r w:rsidR="008C1FF0">
        <w:t>Deze zijn zichtbaar (en ook snel) in de viewer. De hoeveelheden geometrieën zijn (</w:t>
      </w:r>
      <w:proofErr w:type="spellStart"/>
      <w:r w:rsidR="008C1FF0">
        <w:t>performancegewijs</w:t>
      </w:r>
      <w:proofErr w:type="spellEnd"/>
      <w:r w:rsidR="008C1FF0">
        <w:t xml:space="preserve">) geen probleem. </w:t>
      </w:r>
      <w:r w:rsidR="008C4D5A">
        <w:t>Het is wel zo dat hoe meer schuifjes je open klikt, hoe langer het bezig is met opbouwen. Multigeometrie</w:t>
      </w:r>
      <w:r w:rsidR="00FB34F9">
        <w:t>ë</w:t>
      </w:r>
      <w:r w:rsidR="008C4D5A">
        <w:t xml:space="preserve">n zijn nog niet uitgetest in de viewer. </w:t>
      </w:r>
    </w:p>
    <w:p w14:paraId="73195CB5" w14:textId="6C5FFE1F" w:rsidR="008C4D5A" w:rsidRDefault="008C4D5A" w:rsidP="00861BD3">
      <w:r>
        <w:t xml:space="preserve">De vraag is </w:t>
      </w:r>
      <w:r w:rsidR="001F6261">
        <w:t xml:space="preserve">of je als gebruiker van de viewer niet begint met alle schuifjes open (en dus met langere verwerkingstijd te maken hebt) </w:t>
      </w:r>
      <w:r w:rsidR="009B27D9">
        <w:t>en of de performance ook niet afhankelijk is van de individuele pc omdat ie daar van alles op cachet.</w:t>
      </w:r>
      <w:r w:rsidR="00E30BD0">
        <w:t xml:space="preserve"> De moeite van het testen waard is bv als je de API bevraagt met vragen à la “welke objecten liggen op deze plek”. </w:t>
      </w:r>
    </w:p>
    <w:p w14:paraId="6291B59C" w14:textId="351F8E31" w:rsidR="00B82645" w:rsidRPr="00712AE3" w:rsidRDefault="00B82645" w:rsidP="00712AE3">
      <w:pPr>
        <w:pStyle w:val="Lijstalinea"/>
        <w:numPr>
          <w:ilvl w:val="0"/>
          <w:numId w:val="2"/>
        </w:numPr>
        <w:rPr>
          <w:b/>
          <w:bCs/>
        </w:rPr>
      </w:pPr>
      <w:r w:rsidRPr="00712AE3">
        <w:rPr>
          <w:b/>
          <w:bCs/>
        </w:rPr>
        <w:t>Analyse KOOP</w:t>
      </w:r>
    </w:p>
    <w:p w14:paraId="4E9EBC87" w14:textId="037BE73E" w:rsidR="001E69EB" w:rsidRDefault="004F7387" w:rsidP="00C11718">
      <w:r>
        <w:t>In de keten LVBB-OZON lopen we nog tegen fouten aan.</w:t>
      </w:r>
      <w:r w:rsidR="00F62267">
        <w:t xml:space="preserve"> Ozon rapporteert de fouten terug in een verslag. Er</w:t>
      </w:r>
      <w:r w:rsidR="001E69EB">
        <w:t xml:space="preserve"> is een maximale grens van het rapport van </w:t>
      </w:r>
      <w:r w:rsidR="00F62267">
        <w:t>10</w:t>
      </w:r>
      <w:r w:rsidR="001E69EB">
        <w:t xml:space="preserve"> MB. </w:t>
      </w:r>
      <w:r w:rsidR="00F62267">
        <w:t xml:space="preserve">Het rapport is 25 MB. (Update vrijdag: </w:t>
      </w:r>
      <w:r w:rsidR="001E69EB">
        <w:t xml:space="preserve">Na </w:t>
      </w:r>
      <w:r w:rsidR="00F62267">
        <w:t>het aanpassen van de instelling hiervoor</w:t>
      </w:r>
      <w:r w:rsidR="001E69EB">
        <w:t xml:space="preserve"> is </w:t>
      </w:r>
      <w:r w:rsidR="00F62267">
        <w:t xml:space="preserve"> het bestand in 2 uur en 15 minuten door de keten gehaald (alleen validatie)</w:t>
      </w:r>
      <w:r w:rsidR="003C787A">
        <w:t xml:space="preserve">. </w:t>
      </w:r>
      <w:r w:rsidR="00F62267">
        <w:t xml:space="preserve">Het bestand bleek invalide </w:t>
      </w:r>
      <w:proofErr w:type="spellStart"/>
      <w:r w:rsidR="00F62267">
        <w:t>ivm</w:t>
      </w:r>
      <w:proofErr w:type="spellEnd"/>
      <w:r w:rsidR="00F62267">
        <w:t xml:space="preserve"> dubbele geometrieën. Dit opgelost hebbende was de doorloop </w:t>
      </w:r>
      <w:r w:rsidR="008A6EC6">
        <w:t xml:space="preserve">op 9/11 </w:t>
      </w:r>
      <w:r w:rsidR="00F62267">
        <w:t>2 uur en 7 minuten (bestand valide)</w:t>
      </w:r>
      <w:r w:rsidR="008A6EC6">
        <w:t>.</w:t>
      </w:r>
    </w:p>
    <w:p w14:paraId="49C47EDD" w14:textId="076B5AAC" w:rsidR="002A4AF6" w:rsidRDefault="008A6EC6" w:rsidP="00C11718">
      <w:r>
        <w:t xml:space="preserve">Vanuit de publicatieketen is de vraag </w:t>
      </w:r>
      <w:r w:rsidR="00115657">
        <w:t xml:space="preserve"> over </w:t>
      </w:r>
      <w:r>
        <w:t>het</w:t>
      </w:r>
      <w:r w:rsidR="00115657">
        <w:t xml:space="preserve"> maximaal aantal </w:t>
      </w:r>
      <w:proofErr w:type="spellStart"/>
      <w:r w:rsidR="00115657">
        <w:t>GIO</w:t>
      </w:r>
      <w:r w:rsidR="00E73B70">
        <w:t>’s</w:t>
      </w:r>
      <w:proofErr w:type="spellEnd"/>
      <w:r w:rsidR="00E73B70">
        <w:t xml:space="preserve">, </w:t>
      </w:r>
      <w:r w:rsidR="0024300B">
        <w:t xml:space="preserve">er zit een grens </w:t>
      </w:r>
      <w:r>
        <w:t>in de verwerking en de</w:t>
      </w:r>
      <w:r w:rsidR="0024300B">
        <w:t xml:space="preserve"> gebruiksvriendelijkheid qua </w:t>
      </w:r>
      <w:r>
        <w:t>hoeveelheden</w:t>
      </w:r>
      <w:r w:rsidR="0024300B">
        <w:t xml:space="preserve"> </w:t>
      </w:r>
      <w:proofErr w:type="spellStart"/>
      <w:r w:rsidR="0024300B">
        <w:t>GIO</w:t>
      </w:r>
      <w:r w:rsidR="001E69EB">
        <w:t>’</w:t>
      </w:r>
      <w:r w:rsidR="0024300B">
        <w:t>s</w:t>
      </w:r>
      <w:proofErr w:type="spellEnd"/>
      <w:r w:rsidR="001E69EB">
        <w:t xml:space="preserve"> in de bekendmakingsportalen De schatting van deze groep is dat de hoeveelheid </w:t>
      </w:r>
      <w:proofErr w:type="spellStart"/>
      <w:r w:rsidR="001E69EB">
        <w:t>GIO’s</w:t>
      </w:r>
      <w:proofErr w:type="spellEnd"/>
      <w:r w:rsidR="001E69EB">
        <w:t xml:space="preserve"> (bij correcte toepassing) tussen de 100 en 300 maximaal uit zou kunnen komen. </w:t>
      </w:r>
    </w:p>
    <w:p w14:paraId="0AC0B658" w14:textId="683F3526" w:rsidR="00EF1E5A" w:rsidRDefault="00645495" w:rsidP="00C11718">
      <w:r>
        <w:t xml:space="preserve"> </w:t>
      </w:r>
    </w:p>
    <w:p w14:paraId="17DFA9F6" w14:textId="5C5599D3" w:rsidR="00EF1E5A" w:rsidRDefault="00EF1E5A" w:rsidP="00C11718">
      <w:r>
        <w:t xml:space="preserve">Het testen richting KOOP-portalen vindt volgende week plaats. </w:t>
      </w:r>
    </w:p>
    <w:p w14:paraId="75117634" w14:textId="437FE45A" w:rsidR="00E01575" w:rsidRPr="00F23A5F" w:rsidRDefault="00E01575" w:rsidP="00E01575">
      <w:pPr>
        <w:pStyle w:val="Lijstalinea"/>
        <w:numPr>
          <w:ilvl w:val="0"/>
          <w:numId w:val="2"/>
        </w:numPr>
        <w:rPr>
          <w:b/>
          <w:bCs/>
        </w:rPr>
      </w:pPr>
      <w:r w:rsidRPr="00F23A5F">
        <w:rPr>
          <w:b/>
          <w:bCs/>
        </w:rPr>
        <w:t xml:space="preserve">Uitwerking </w:t>
      </w:r>
      <w:r w:rsidR="002B2DC1" w:rsidRPr="00F23A5F">
        <w:rPr>
          <w:b/>
          <w:bCs/>
        </w:rPr>
        <w:t>aanbieden in kleinere badges</w:t>
      </w:r>
    </w:p>
    <w:p w14:paraId="1C682A16" w14:textId="08E43A9D" w:rsidR="002B2DC1" w:rsidRDefault="002B2DC1" w:rsidP="002B2DC1">
      <w:r>
        <w:t xml:space="preserve">Dit is uitgewerkt: </w:t>
      </w:r>
      <w:r w:rsidR="007505FE">
        <w:t xml:space="preserve">Omgevingsdocument aangeboden met één OW-locatie, en daarna een reeks mutaties </w:t>
      </w:r>
      <w:r w:rsidR="00732B61">
        <w:t xml:space="preserve">laten volgen met alle OW-objecten. De keten was nog niet klaar voor die reeks mutaties, komt in komende sprint goed. Algemeen is de conclusie van de taskforce dat dit </w:t>
      </w:r>
      <w:r w:rsidR="00F23A5F">
        <w:t xml:space="preserve">niet de schoonheidsprijs verdient en weer andere problemen veroorzaakt. Er kan volgende week nog mee getest worden, maar dit is niet een gewenste oplossing. </w:t>
      </w:r>
    </w:p>
    <w:p w14:paraId="23DC0D89" w14:textId="28E34671" w:rsidR="0029298C" w:rsidRDefault="0029298C" w:rsidP="00B82645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Uitwerking </w:t>
      </w:r>
      <w:r w:rsidR="00A44C8D" w:rsidRPr="00A44C8D">
        <w:rPr>
          <w:b/>
          <w:bCs/>
        </w:rPr>
        <w:t>1 OW-locatie met meerdere geometrieën</w:t>
      </w:r>
    </w:p>
    <w:p w14:paraId="56554B00" w14:textId="44F9284C" w:rsidR="004D60EF" w:rsidRDefault="004D60EF" w:rsidP="00A44C8D">
      <w:r>
        <w:t xml:space="preserve">In de afgelopen week is uitgewerkt of een verhouding </w:t>
      </w:r>
      <w:r w:rsidRPr="00F933DA">
        <w:t xml:space="preserve">van 1: n </w:t>
      </w:r>
      <w:r w:rsidR="00905EF3">
        <w:t>(</w:t>
      </w:r>
      <w:r w:rsidR="00820098">
        <w:t>1 OW-locatie met meerdere geom</w:t>
      </w:r>
      <w:r w:rsidRPr="00F933DA">
        <w:t>etrie</w:t>
      </w:r>
      <w:r w:rsidR="00820098">
        <w:t>ën</w:t>
      </w:r>
      <w:r w:rsidR="001E69EB">
        <w:t>)</w:t>
      </w:r>
      <w:r w:rsidR="00820098">
        <w:t xml:space="preserve"> </w:t>
      </w:r>
      <w:r w:rsidR="001E69EB">
        <w:t xml:space="preserve">performance winst </w:t>
      </w:r>
      <w:r w:rsidR="00820098">
        <w:t xml:space="preserve">oplevert. </w:t>
      </w:r>
      <w:r w:rsidRPr="00F933DA">
        <w:t xml:space="preserve"> </w:t>
      </w:r>
      <w:r>
        <w:t xml:space="preserve">Nog niet duidelijk is of het performance-voordelen oplevert. Dit wordt besproken tijdens het overleg. Geconcludeerd wordt dat dit niet een pad is dat op dit moment verder moet worden bewandeld. Functioneel is het overigens hoogstens een </w:t>
      </w:r>
      <w:proofErr w:type="spellStart"/>
      <w:r>
        <w:t>nice</w:t>
      </w:r>
      <w:proofErr w:type="spellEnd"/>
      <w:r>
        <w:t>-</w:t>
      </w:r>
      <w:proofErr w:type="spellStart"/>
      <w:r>
        <w:t>to</w:t>
      </w:r>
      <w:proofErr w:type="spellEnd"/>
      <w:r>
        <w:t>-have</w:t>
      </w:r>
      <w:r w:rsidR="001E69EB">
        <w:t xml:space="preserve">, maar stuit het ook op weerstand vanwege de inrichting van de uitwisselingsstandaard en de logica die daarin is geformuleerd tussen </w:t>
      </w:r>
      <w:proofErr w:type="spellStart"/>
      <w:r w:rsidR="001E69EB">
        <w:t>GIO’s</w:t>
      </w:r>
      <w:proofErr w:type="spellEnd"/>
      <w:r w:rsidR="001E69EB">
        <w:t xml:space="preserve"> en OW locaties</w:t>
      </w:r>
      <w:r>
        <w:t xml:space="preserve">. </w:t>
      </w:r>
    </w:p>
    <w:p w14:paraId="2D593DC7" w14:textId="51CAB271" w:rsidR="008203DF" w:rsidRPr="00B82645" w:rsidRDefault="00460C90" w:rsidP="00B82645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lastRenderedPageBreak/>
        <w:t>Overig</w:t>
      </w:r>
      <w:r w:rsidR="0029298C">
        <w:rPr>
          <w:b/>
          <w:bCs/>
        </w:rPr>
        <w:t xml:space="preserve"> en acties </w:t>
      </w:r>
    </w:p>
    <w:p w14:paraId="539222FC" w14:textId="74511828" w:rsidR="00460C90" w:rsidRDefault="009D2EBB" w:rsidP="008B64BE">
      <w:r>
        <w:t xml:space="preserve">In de groep wordt besproken dat het nodig is te communiceren naar buiten toe. Bijvoorbeeld, voor de BG is </w:t>
      </w:r>
      <w:r w:rsidR="00576476">
        <w:t>het van belang te weten hoe ze hun geometrieën moeten opbouwen. Waar we eerder hebben aangegeven dat ze moeten werken richting grote geometrieën, is de boodschap inmiddels duidelijk anders. M geeft aan</w:t>
      </w:r>
      <w:r w:rsidR="00147A62">
        <w:t>:</w:t>
      </w:r>
    </w:p>
    <w:p w14:paraId="4D32B5C9" w14:textId="59444DB8" w:rsidR="00576476" w:rsidRDefault="00576476" w:rsidP="00576476">
      <w:pPr>
        <w:pStyle w:val="Lijstalinea"/>
        <w:numPr>
          <w:ilvl w:val="0"/>
          <w:numId w:val="13"/>
        </w:numPr>
      </w:pPr>
      <w:r>
        <w:t xml:space="preserve">Er </w:t>
      </w:r>
      <w:r w:rsidR="003258B2">
        <w:t xml:space="preserve">wordt op korte termijn een werkplaats </w:t>
      </w:r>
      <w:proofErr w:type="spellStart"/>
      <w:r w:rsidR="003258B2">
        <w:t>geo</w:t>
      </w:r>
      <w:proofErr w:type="spellEnd"/>
      <w:r w:rsidR="003258B2">
        <w:t>-optimalisatie belegd om deze bevoegd gezagen mee te nemen in de ontwikkelingen en analyses van de afgelopen weken</w:t>
      </w:r>
    </w:p>
    <w:p w14:paraId="2C66726C" w14:textId="01F97CE8" w:rsidR="003258B2" w:rsidRDefault="00876F07" w:rsidP="00576476">
      <w:pPr>
        <w:pStyle w:val="Lijstalinea"/>
        <w:numPr>
          <w:ilvl w:val="0"/>
          <w:numId w:val="13"/>
        </w:numPr>
      </w:pPr>
      <w:r>
        <w:t xml:space="preserve">Er is een nieuwsbericht in de maak, dat regelmatig moet gaan uitkomen. </w:t>
      </w:r>
    </w:p>
    <w:p w14:paraId="1CC33033" w14:textId="351A789E" w:rsidR="008B64BE" w:rsidRDefault="001612B2" w:rsidP="008B64BE">
      <w:r>
        <w:t xml:space="preserve"> 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134"/>
      </w:tblGrid>
      <w:tr w:rsidR="00F5110D" w:rsidRPr="00445983" w14:paraId="0D103655" w14:textId="77777777" w:rsidTr="009862B1">
        <w:tc>
          <w:tcPr>
            <w:tcW w:w="567" w:type="dxa"/>
          </w:tcPr>
          <w:p w14:paraId="566F3C49" w14:textId="77777777" w:rsidR="00F5110D" w:rsidRPr="00445983" w:rsidRDefault="00F5110D" w:rsidP="00BD3061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0468947D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84" w:type="dxa"/>
          </w:tcPr>
          <w:p w14:paraId="3B153C54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34" w:type="dxa"/>
          </w:tcPr>
          <w:p w14:paraId="38B82FD8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367732" w14:paraId="682959FF" w14:textId="77777777" w:rsidTr="009862B1">
        <w:tc>
          <w:tcPr>
            <w:tcW w:w="567" w:type="dxa"/>
          </w:tcPr>
          <w:p w14:paraId="5BDA5802" w14:textId="4A50C289" w:rsidR="00367732" w:rsidRPr="00D71E16" w:rsidRDefault="00D71E16" w:rsidP="00D71E16">
            <w:pPr>
              <w:rPr>
                <w:color w:val="000000" w:themeColor="text1"/>
              </w:rPr>
            </w:pPr>
            <w:r w:rsidRPr="00D71E16">
              <w:rPr>
                <w:color w:val="000000" w:themeColor="text1"/>
              </w:rPr>
              <w:t>15</w:t>
            </w:r>
          </w:p>
        </w:tc>
        <w:tc>
          <w:tcPr>
            <w:tcW w:w="5387" w:type="dxa"/>
          </w:tcPr>
          <w:p w14:paraId="626F1DAA" w14:textId="73B8A2D6" w:rsidR="00367732" w:rsidRDefault="00D71E16" w:rsidP="00BD3061">
            <w:r>
              <w:t>Denken over</w:t>
            </w:r>
            <w:r w:rsidR="00B97848">
              <w:t xml:space="preserve"> mogelijke procesaanpassingen</w:t>
            </w:r>
            <w:r w:rsidR="00253371">
              <w:t xml:space="preserve"> </w:t>
            </w:r>
            <w:r>
              <w:t>als technische optimalisatie</w:t>
            </w:r>
            <w:r w:rsidR="00815D8E">
              <w:t xml:space="preserve"> in onvoldoende snelheid resulteert (binnen ca. 15 minuten valideren en registreren)</w:t>
            </w:r>
          </w:p>
        </w:tc>
        <w:tc>
          <w:tcPr>
            <w:tcW w:w="1984" w:type="dxa"/>
          </w:tcPr>
          <w:p w14:paraId="5BD1F3E6" w14:textId="5A9857E0" w:rsidR="00367732" w:rsidRDefault="00367732" w:rsidP="00BD3061"/>
        </w:tc>
        <w:tc>
          <w:tcPr>
            <w:tcW w:w="1134" w:type="dxa"/>
          </w:tcPr>
          <w:p w14:paraId="2086A309" w14:textId="6A89CF71" w:rsidR="00367732" w:rsidRDefault="00724823" w:rsidP="00BD3061">
            <w:r>
              <w:t>4-11-21</w:t>
            </w:r>
          </w:p>
        </w:tc>
      </w:tr>
      <w:tr w:rsidR="002C63F2" w14:paraId="013C67F5" w14:textId="77777777" w:rsidTr="009862B1">
        <w:tc>
          <w:tcPr>
            <w:tcW w:w="567" w:type="dxa"/>
          </w:tcPr>
          <w:p w14:paraId="14B218FE" w14:textId="2FF22D58" w:rsidR="002C63F2" w:rsidRPr="00D71E16" w:rsidRDefault="00133B9F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19</w:t>
            </w:r>
          </w:p>
        </w:tc>
        <w:tc>
          <w:tcPr>
            <w:tcW w:w="5387" w:type="dxa"/>
          </w:tcPr>
          <w:p w14:paraId="0F75766F" w14:textId="5BE6EF09" w:rsidR="002C63F2" w:rsidRDefault="00F65BF8" w:rsidP="00BD3061">
            <w:r>
              <w:t>Verwerken in oefenscenario</w:t>
            </w:r>
            <w:r w:rsidR="001E69EB">
              <w:t>’</w:t>
            </w:r>
            <w:r>
              <w:t>s dat oefenen door gemeentes niet met alle locaties moet gebeuren</w:t>
            </w:r>
          </w:p>
        </w:tc>
        <w:tc>
          <w:tcPr>
            <w:tcW w:w="1984" w:type="dxa"/>
          </w:tcPr>
          <w:p w14:paraId="284D2F9B" w14:textId="21702430" w:rsidR="002C63F2" w:rsidRDefault="002C63F2" w:rsidP="00BD3061"/>
        </w:tc>
        <w:tc>
          <w:tcPr>
            <w:tcW w:w="1134" w:type="dxa"/>
          </w:tcPr>
          <w:p w14:paraId="34281863" w14:textId="6C91D1A6" w:rsidR="002C63F2" w:rsidRDefault="00724823" w:rsidP="00BD3061">
            <w:r>
              <w:t>4-11-21</w:t>
            </w:r>
          </w:p>
        </w:tc>
      </w:tr>
      <w:tr w:rsidR="00E84028" w14:paraId="201FA5FC" w14:textId="77777777" w:rsidTr="009862B1">
        <w:tc>
          <w:tcPr>
            <w:tcW w:w="567" w:type="dxa"/>
          </w:tcPr>
          <w:p w14:paraId="41AE9C81" w14:textId="12614C08" w:rsidR="00E84028" w:rsidRDefault="00E84028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</w:t>
            </w:r>
          </w:p>
        </w:tc>
        <w:tc>
          <w:tcPr>
            <w:tcW w:w="5387" w:type="dxa"/>
          </w:tcPr>
          <w:p w14:paraId="62B6DC80" w14:textId="1E481E22" w:rsidR="00E84028" w:rsidRDefault="00E84028" w:rsidP="00BD3061">
            <w:r>
              <w:t xml:space="preserve">Bijpraten V-B </w:t>
            </w:r>
            <w:proofErr w:type="spellStart"/>
            <w:r>
              <w:t>mbt</w:t>
            </w:r>
            <w:proofErr w:type="spellEnd"/>
            <w:r>
              <w:t xml:space="preserve"> toepasbare regels &amp; hier op consequenties gaan testen</w:t>
            </w:r>
          </w:p>
        </w:tc>
        <w:tc>
          <w:tcPr>
            <w:tcW w:w="1984" w:type="dxa"/>
          </w:tcPr>
          <w:p w14:paraId="1C35F9F6" w14:textId="662909EC" w:rsidR="00E84028" w:rsidRDefault="00E84028" w:rsidP="00BD3061"/>
        </w:tc>
        <w:tc>
          <w:tcPr>
            <w:tcW w:w="1134" w:type="dxa"/>
          </w:tcPr>
          <w:p w14:paraId="5DC31594" w14:textId="1EDF063D" w:rsidR="00E84028" w:rsidRDefault="00BA1686" w:rsidP="00BD3061">
            <w:r>
              <w:t>11-11-21</w:t>
            </w:r>
          </w:p>
        </w:tc>
      </w:tr>
      <w:tr w:rsidR="00E84028" w14:paraId="67ADDB62" w14:textId="77777777" w:rsidTr="009862B1">
        <w:tc>
          <w:tcPr>
            <w:tcW w:w="567" w:type="dxa"/>
          </w:tcPr>
          <w:p w14:paraId="3B2AF439" w14:textId="058D9ECF" w:rsidR="00E84028" w:rsidRDefault="000C6866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22</w:t>
            </w:r>
          </w:p>
        </w:tc>
        <w:tc>
          <w:tcPr>
            <w:tcW w:w="5387" w:type="dxa"/>
          </w:tcPr>
          <w:p w14:paraId="79E8047F" w14:textId="63E4929F" w:rsidR="00E84028" w:rsidRDefault="00E84028" w:rsidP="00BD3061">
            <w:r>
              <w:t xml:space="preserve">Doortesten viewer </w:t>
            </w:r>
            <w:proofErr w:type="spellStart"/>
            <w:r>
              <w:t>mbt</w:t>
            </w:r>
            <w:proofErr w:type="spellEnd"/>
            <w:r>
              <w:t xml:space="preserve"> API-bevragingen, </w:t>
            </w:r>
            <w:r w:rsidR="00B10A24">
              <w:t>load op individuele pc</w:t>
            </w:r>
            <w:r w:rsidR="000C6866">
              <w:t xml:space="preserve">, optimalisatie </w:t>
            </w:r>
            <w:proofErr w:type="spellStart"/>
            <w:r w:rsidR="000C6866">
              <w:t>subprocessen</w:t>
            </w:r>
            <w:proofErr w:type="spellEnd"/>
            <w:r w:rsidR="00B10A24">
              <w:t>?</w:t>
            </w:r>
          </w:p>
        </w:tc>
        <w:tc>
          <w:tcPr>
            <w:tcW w:w="1984" w:type="dxa"/>
          </w:tcPr>
          <w:p w14:paraId="55017B84" w14:textId="4F6E7D52" w:rsidR="00E84028" w:rsidRDefault="00E84028" w:rsidP="00BD3061"/>
        </w:tc>
        <w:tc>
          <w:tcPr>
            <w:tcW w:w="1134" w:type="dxa"/>
          </w:tcPr>
          <w:p w14:paraId="34EC48B3" w14:textId="77777777" w:rsidR="00E84028" w:rsidRDefault="00E84028" w:rsidP="00BD3061"/>
        </w:tc>
      </w:tr>
      <w:tr w:rsidR="001E69EB" w14:paraId="3548C585" w14:textId="77777777" w:rsidTr="009862B1">
        <w:tc>
          <w:tcPr>
            <w:tcW w:w="567" w:type="dxa"/>
          </w:tcPr>
          <w:p w14:paraId="2E1FF4C7" w14:textId="73242AC7" w:rsidR="001E69EB" w:rsidRDefault="001E69EB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23</w:t>
            </w:r>
          </w:p>
        </w:tc>
        <w:tc>
          <w:tcPr>
            <w:tcW w:w="5387" w:type="dxa"/>
          </w:tcPr>
          <w:p w14:paraId="1AFE3BE7" w14:textId="718BB9BE" w:rsidR="001E69EB" w:rsidRDefault="001E69EB" w:rsidP="00BD3061">
            <w:r>
              <w:t>Verdere optimalisaties in de keten analyseren</w:t>
            </w:r>
          </w:p>
        </w:tc>
        <w:tc>
          <w:tcPr>
            <w:tcW w:w="1984" w:type="dxa"/>
          </w:tcPr>
          <w:p w14:paraId="264CDCF1" w14:textId="5CCAA3C8" w:rsidR="001E69EB" w:rsidRDefault="001E69EB" w:rsidP="00BD3061"/>
        </w:tc>
        <w:tc>
          <w:tcPr>
            <w:tcW w:w="1134" w:type="dxa"/>
          </w:tcPr>
          <w:p w14:paraId="6DC4E316" w14:textId="77777777" w:rsidR="001E69EB" w:rsidRDefault="001E69EB" w:rsidP="00BD3061"/>
        </w:tc>
      </w:tr>
      <w:tr w:rsidR="001E69EB" w14:paraId="68BD955E" w14:textId="77777777" w:rsidTr="009862B1">
        <w:tc>
          <w:tcPr>
            <w:tcW w:w="567" w:type="dxa"/>
          </w:tcPr>
          <w:p w14:paraId="0D37F030" w14:textId="555B4A13" w:rsidR="001E69EB" w:rsidRDefault="001E69EB" w:rsidP="00D71E1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24 </w:t>
            </w:r>
          </w:p>
        </w:tc>
        <w:tc>
          <w:tcPr>
            <w:tcW w:w="5387" w:type="dxa"/>
          </w:tcPr>
          <w:p w14:paraId="36060F72" w14:textId="3C61B64B" w:rsidR="001E69EB" w:rsidRDefault="001E69EB" w:rsidP="00BD3061">
            <w:r>
              <w:t xml:space="preserve">Testen verwerking hoeveelheid </w:t>
            </w:r>
            <w:proofErr w:type="spellStart"/>
            <w:r>
              <w:t>GIO’s</w:t>
            </w:r>
            <w:proofErr w:type="spellEnd"/>
            <w:r>
              <w:t xml:space="preserve"> in publicatieproces bij KOOP</w:t>
            </w:r>
          </w:p>
        </w:tc>
        <w:tc>
          <w:tcPr>
            <w:tcW w:w="1984" w:type="dxa"/>
          </w:tcPr>
          <w:p w14:paraId="218B501F" w14:textId="64FA0632" w:rsidR="001E69EB" w:rsidRDefault="001E69EB" w:rsidP="00BD3061"/>
        </w:tc>
        <w:tc>
          <w:tcPr>
            <w:tcW w:w="1134" w:type="dxa"/>
          </w:tcPr>
          <w:p w14:paraId="788D8894" w14:textId="77777777" w:rsidR="001E69EB" w:rsidRDefault="001E69EB" w:rsidP="00BD3061"/>
        </w:tc>
      </w:tr>
    </w:tbl>
    <w:p w14:paraId="09F75C26" w14:textId="77777777" w:rsidR="00515521" w:rsidRDefault="00515521"/>
    <w:p w14:paraId="5FF739DF" w14:textId="7196D15A" w:rsidR="00082DE5" w:rsidRDefault="00082DE5"/>
    <w:p w14:paraId="415E4E2C" w14:textId="2B6B460F" w:rsidR="00DF752C" w:rsidRPr="00714DF8" w:rsidRDefault="00DF752C" w:rsidP="00253371">
      <w:pPr>
        <w:rPr>
          <w:b/>
          <w:bCs/>
        </w:rPr>
      </w:pPr>
      <w:r w:rsidRPr="00714DF8">
        <w:rPr>
          <w:b/>
          <w:bCs/>
        </w:rPr>
        <w:t>Afgesloten acties: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7"/>
        <w:gridCol w:w="5387"/>
        <w:gridCol w:w="1984"/>
        <w:gridCol w:w="12"/>
        <w:gridCol w:w="1122"/>
      </w:tblGrid>
      <w:tr w:rsidR="00DF752C" w:rsidRPr="00445983" w14:paraId="65F4DEC8" w14:textId="77777777" w:rsidTr="00515521">
        <w:tc>
          <w:tcPr>
            <w:tcW w:w="567" w:type="dxa"/>
          </w:tcPr>
          <w:p w14:paraId="43D1513D" w14:textId="77777777" w:rsidR="00DF752C" w:rsidRPr="00445983" w:rsidRDefault="00DF752C" w:rsidP="00B66A14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26756A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96" w:type="dxa"/>
            <w:gridSpan w:val="2"/>
          </w:tcPr>
          <w:p w14:paraId="6E733EB1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2" w:type="dxa"/>
          </w:tcPr>
          <w:p w14:paraId="56390EAD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DF752C" w:rsidRPr="00C11F38" w14:paraId="1C333F37" w14:textId="77777777" w:rsidTr="00515521">
        <w:tc>
          <w:tcPr>
            <w:tcW w:w="567" w:type="dxa"/>
          </w:tcPr>
          <w:p w14:paraId="7E1399FC" w14:textId="11C1C05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1</w:t>
            </w:r>
          </w:p>
        </w:tc>
        <w:tc>
          <w:tcPr>
            <w:tcW w:w="5387" w:type="dxa"/>
          </w:tcPr>
          <w:p w14:paraId="5107580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Wat levert minder geometrieën op? Dit aan de hand van Rijnland. Statistieken opstellen Rijnland - hoeveel was er en hoeveel kan zo'n actie opleveren? Hoeveel werk is daar in gaan zitten?</w:t>
            </w:r>
          </w:p>
        </w:tc>
        <w:tc>
          <w:tcPr>
            <w:tcW w:w="1996" w:type="dxa"/>
            <w:gridSpan w:val="2"/>
          </w:tcPr>
          <w:p w14:paraId="21C7D0CB" w14:textId="66CCA47F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09A1B897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DF752C" w:rsidRPr="00C11F38" w14:paraId="7700B202" w14:textId="77777777" w:rsidTr="00515521">
        <w:tc>
          <w:tcPr>
            <w:tcW w:w="567" w:type="dxa"/>
          </w:tcPr>
          <w:p w14:paraId="750CE9F5" w14:textId="5689692F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</w:t>
            </w:r>
          </w:p>
        </w:tc>
        <w:tc>
          <w:tcPr>
            <w:tcW w:w="5387" w:type="dxa"/>
          </w:tcPr>
          <w:p w14:paraId="0B78591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bouwvlakken van een gemeente als </w:t>
            </w:r>
            <w:proofErr w:type="spellStart"/>
            <w:r w:rsidRPr="00D71E16">
              <w:rPr>
                <w:color w:val="A6A6A6" w:themeColor="background1" w:themeShade="A6"/>
              </w:rPr>
              <w:t>multigemometrie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, losse </w:t>
            </w:r>
            <w:proofErr w:type="spellStart"/>
            <w:r w:rsidRPr="00D71E16">
              <w:rPr>
                <w:color w:val="A6A6A6" w:themeColor="background1" w:themeShade="A6"/>
              </w:rPr>
              <w:t>lokaties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en </w:t>
            </w:r>
            <w:proofErr w:type="spellStart"/>
            <w:r w:rsidRPr="00D71E16">
              <w:rPr>
                <w:color w:val="A6A6A6" w:themeColor="background1" w:themeShade="A6"/>
              </w:rPr>
              <w:t>lokatiegroepen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996" w:type="dxa"/>
            <w:gridSpan w:val="2"/>
          </w:tcPr>
          <w:p w14:paraId="22FD746F" w14:textId="53CF9166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706893F3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DF752C" w:rsidRPr="00651A72" w14:paraId="6FFC04A1" w14:textId="77777777" w:rsidTr="00515521">
        <w:tc>
          <w:tcPr>
            <w:tcW w:w="567" w:type="dxa"/>
          </w:tcPr>
          <w:p w14:paraId="70B9E3BF" w14:textId="6E7FF76C" w:rsidR="00DF752C" w:rsidRPr="00D71E16" w:rsidRDefault="00DF752C" w:rsidP="00DF752C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3</w:t>
            </w:r>
          </w:p>
        </w:tc>
        <w:tc>
          <w:tcPr>
            <w:tcW w:w="5387" w:type="dxa"/>
          </w:tcPr>
          <w:p w14:paraId="2662FB51" w14:textId="77777777" w:rsidR="00DF752C" w:rsidRPr="00D71E16" w:rsidRDefault="00DF752C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</w:t>
            </w:r>
            <w:proofErr w:type="spellStart"/>
            <w:r w:rsidRPr="00D71E16">
              <w:rPr>
                <w:color w:val="A6A6A6" w:themeColor="background1" w:themeShade="A6"/>
              </w:rPr>
              <w:t>geometry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  <w:proofErr w:type="spellStart"/>
            <w:r w:rsidRPr="00D71E16">
              <w:rPr>
                <w:color w:val="A6A6A6" w:themeColor="background1" w:themeShade="A6"/>
              </w:rPr>
              <w:t>collection</w:t>
            </w:r>
            <w:proofErr w:type="spellEnd"/>
          </w:p>
        </w:tc>
        <w:tc>
          <w:tcPr>
            <w:tcW w:w="1996" w:type="dxa"/>
            <w:gridSpan w:val="2"/>
          </w:tcPr>
          <w:p w14:paraId="3E501FAD" w14:textId="5D09DA28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22" w:type="dxa"/>
          </w:tcPr>
          <w:p w14:paraId="22DC141B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7-10-21</w:t>
            </w:r>
          </w:p>
        </w:tc>
      </w:tr>
      <w:tr w:rsidR="00D71E16" w:rsidRPr="00651A72" w14:paraId="77E90FA4" w14:textId="77777777" w:rsidTr="00515521">
        <w:tc>
          <w:tcPr>
            <w:tcW w:w="567" w:type="dxa"/>
          </w:tcPr>
          <w:p w14:paraId="324A96DD" w14:textId="3E43DC6D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4</w:t>
            </w:r>
          </w:p>
        </w:tc>
        <w:tc>
          <w:tcPr>
            <w:tcW w:w="5387" w:type="dxa"/>
          </w:tcPr>
          <w:p w14:paraId="728A7838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Bovengenoemde sets proberen te laden op de ACC (voor sommige opties moet een aantal validatieregels uitgezet worden)</w:t>
            </w:r>
          </w:p>
        </w:tc>
        <w:tc>
          <w:tcPr>
            <w:tcW w:w="1984" w:type="dxa"/>
          </w:tcPr>
          <w:p w14:paraId="4532F7AD" w14:textId="5E032425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F54811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260790D4" w14:textId="77777777" w:rsidTr="00515521">
        <w:tc>
          <w:tcPr>
            <w:tcW w:w="567" w:type="dxa"/>
          </w:tcPr>
          <w:p w14:paraId="430A00F0" w14:textId="4C6C148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5</w:t>
            </w:r>
          </w:p>
        </w:tc>
        <w:tc>
          <w:tcPr>
            <w:tcW w:w="5387" w:type="dxa"/>
          </w:tcPr>
          <w:p w14:paraId="71D2C27D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Check of de </w:t>
            </w:r>
            <w:proofErr w:type="spellStart"/>
            <w:r w:rsidRPr="00651A72">
              <w:rPr>
                <w:color w:val="A6A6A6" w:themeColor="background1" w:themeShade="A6"/>
              </w:rPr>
              <w:t>geometry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collection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onderscheidend is </w:t>
            </w:r>
            <w:proofErr w:type="spellStart"/>
            <w:r w:rsidRPr="00651A72">
              <w:rPr>
                <w:color w:val="A6A6A6" w:themeColor="background1" w:themeShade="A6"/>
              </w:rPr>
              <w:t>tav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multigeometrie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en of dat is toegestaan</w:t>
            </w:r>
          </w:p>
          <w:p w14:paraId="3D7C244E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5E899794" w14:textId="398E83B2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F89016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6D52EC3E" w14:textId="77777777" w:rsidTr="00515521">
        <w:tc>
          <w:tcPr>
            <w:tcW w:w="567" w:type="dxa"/>
          </w:tcPr>
          <w:p w14:paraId="0B4BE8A4" w14:textId="1864CD29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6</w:t>
            </w:r>
          </w:p>
        </w:tc>
        <w:tc>
          <w:tcPr>
            <w:tcW w:w="5387" w:type="dxa"/>
          </w:tcPr>
          <w:p w14:paraId="7A2883F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Uitwerking van een aantal mogelijkheden in de standaard op papier, waaronder de mogelijkheden voor </w:t>
            </w:r>
            <w:proofErr w:type="spellStart"/>
            <w:r w:rsidRPr="00651A72">
              <w:rPr>
                <w:color w:val="A6A6A6" w:themeColor="background1" w:themeShade="A6"/>
              </w:rPr>
              <w:t>simple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features; meerdere normen in een GIO; meer relaties leggen in STOP</w:t>
            </w:r>
          </w:p>
          <w:p w14:paraId="7F5B70E5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7206FD32" w14:textId="2B5F1EDA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12C58AF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14:paraId="634CB1CC" w14:textId="77777777" w:rsidTr="00515521">
        <w:tc>
          <w:tcPr>
            <w:tcW w:w="567" w:type="dxa"/>
          </w:tcPr>
          <w:p w14:paraId="4416B85B" w14:textId="77777777" w:rsidR="00D71E16" w:rsidRDefault="00D71E16" w:rsidP="00B66A14">
            <w:r w:rsidRPr="00D71E16">
              <w:rPr>
                <w:color w:val="A6A6A6" w:themeColor="background1" w:themeShade="A6"/>
              </w:rPr>
              <w:lastRenderedPageBreak/>
              <w:t>7</w:t>
            </w:r>
          </w:p>
        </w:tc>
        <w:tc>
          <w:tcPr>
            <w:tcW w:w="5387" w:type="dxa"/>
          </w:tcPr>
          <w:p w14:paraId="36AB671C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Analyse knippen van geometrieën </w:t>
            </w:r>
            <w:proofErr w:type="spellStart"/>
            <w:r w:rsidRPr="00D71E16">
              <w:rPr>
                <w:color w:val="A6A6A6" w:themeColor="background1" w:themeShade="A6"/>
              </w:rPr>
              <w:t>oa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met behulp van XSLT van Landgoed</w:t>
            </w:r>
          </w:p>
        </w:tc>
        <w:tc>
          <w:tcPr>
            <w:tcW w:w="1984" w:type="dxa"/>
          </w:tcPr>
          <w:p w14:paraId="689F64CD" w14:textId="5B7BC0F4" w:rsidR="00D71E16" w:rsidRPr="00D71E16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5EAFF30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21-10-21</w:t>
            </w:r>
          </w:p>
        </w:tc>
      </w:tr>
      <w:tr w:rsidR="00D71E16" w:rsidRPr="009D1221" w14:paraId="615DB956" w14:textId="77777777" w:rsidTr="00515521">
        <w:tc>
          <w:tcPr>
            <w:tcW w:w="567" w:type="dxa"/>
          </w:tcPr>
          <w:p w14:paraId="104DC564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387" w:type="dxa"/>
          </w:tcPr>
          <w:p w14:paraId="129A3E7C" w14:textId="4798413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 xml:space="preserve">Aanleveren losse locaties-set aan </w:t>
            </w:r>
            <w:r w:rsidR="00825799">
              <w:rPr>
                <w:color w:val="A6A6A6" w:themeColor="background1" w:themeShade="A6"/>
              </w:rPr>
              <w:t>MD</w:t>
            </w:r>
          </w:p>
        </w:tc>
        <w:tc>
          <w:tcPr>
            <w:tcW w:w="1984" w:type="dxa"/>
          </w:tcPr>
          <w:p w14:paraId="425BD484" w14:textId="35A62E27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7F4B201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4E1F41FD" w14:textId="77777777" w:rsidTr="00515521">
        <w:tc>
          <w:tcPr>
            <w:tcW w:w="567" w:type="dxa"/>
          </w:tcPr>
          <w:p w14:paraId="639C0470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387" w:type="dxa"/>
          </w:tcPr>
          <w:p w14:paraId="7363219D" w14:textId="10ABBAA1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Zuiderzeeland aan M</w:t>
            </w:r>
            <w:r w:rsidR="00825799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3D0D7793" w14:textId="43455C05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8B11FD6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542E11A9" w14:textId="77777777" w:rsidTr="00515521">
        <w:tc>
          <w:tcPr>
            <w:tcW w:w="567" w:type="dxa"/>
          </w:tcPr>
          <w:p w14:paraId="20335A4F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387" w:type="dxa"/>
          </w:tcPr>
          <w:p w14:paraId="6D1C428B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Aanbieden twee sets aan OZON</w:t>
            </w:r>
          </w:p>
        </w:tc>
        <w:tc>
          <w:tcPr>
            <w:tcW w:w="1984" w:type="dxa"/>
          </w:tcPr>
          <w:p w14:paraId="7031B106" w14:textId="56E7FB17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D612DFD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15-10-21</w:t>
            </w:r>
          </w:p>
        </w:tc>
      </w:tr>
      <w:tr w:rsidR="00E63D0E" w:rsidRPr="00D249E6" w14:paraId="7B8F7FB4" w14:textId="77777777" w:rsidTr="00515521">
        <w:tc>
          <w:tcPr>
            <w:tcW w:w="567" w:type="dxa"/>
          </w:tcPr>
          <w:p w14:paraId="0DE364BC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11</w:t>
            </w:r>
          </w:p>
        </w:tc>
        <w:tc>
          <w:tcPr>
            <w:tcW w:w="5387" w:type="dxa"/>
          </w:tcPr>
          <w:p w14:paraId="679C4BD3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Analyse aangeboden sets op de Viewer Kadaster</w:t>
            </w:r>
          </w:p>
        </w:tc>
        <w:tc>
          <w:tcPr>
            <w:tcW w:w="1984" w:type="dxa"/>
          </w:tcPr>
          <w:p w14:paraId="7215BB16" w14:textId="1C9881F1" w:rsidR="00E63D0E" w:rsidRPr="00D249E6" w:rsidRDefault="00E63D0E" w:rsidP="00044259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6B7283D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21-10-21</w:t>
            </w:r>
          </w:p>
        </w:tc>
      </w:tr>
      <w:tr w:rsidR="00D249E6" w:rsidRPr="00D249E6" w14:paraId="13F60B8E" w14:textId="77777777" w:rsidTr="00515521">
        <w:tc>
          <w:tcPr>
            <w:tcW w:w="567" w:type="dxa"/>
          </w:tcPr>
          <w:p w14:paraId="4CF58B2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12</w:t>
            </w:r>
          </w:p>
        </w:tc>
        <w:tc>
          <w:tcPr>
            <w:tcW w:w="5387" w:type="dxa"/>
          </w:tcPr>
          <w:p w14:paraId="02E84431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Overleg </w:t>
            </w:r>
            <w:proofErr w:type="spellStart"/>
            <w:r w:rsidRPr="00D249E6">
              <w:rPr>
                <w:color w:val="A6A6A6" w:themeColor="background1" w:themeShade="A6"/>
              </w:rPr>
              <w:t>BLM’s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over analyse aanbod plannen/geometrieën: hoe veel, hoe vaak, alleen initieel of ook bij mutaties</w:t>
            </w:r>
          </w:p>
        </w:tc>
        <w:tc>
          <w:tcPr>
            <w:tcW w:w="1984" w:type="dxa"/>
          </w:tcPr>
          <w:p w14:paraId="238CCA4B" w14:textId="21BDB333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B396574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D249E6" w:rsidRPr="00D249E6" w14:paraId="29462693" w14:textId="77777777" w:rsidTr="00515521">
        <w:tc>
          <w:tcPr>
            <w:tcW w:w="567" w:type="dxa"/>
          </w:tcPr>
          <w:p w14:paraId="6125F62A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13</w:t>
            </w:r>
          </w:p>
        </w:tc>
        <w:tc>
          <w:tcPr>
            <w:tcW w:w="5387" w:type="dxa"/>
          </w:tcPr>
          <w:p w14:paraId="0861903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Check over mogelijkheid hergebruik </w:t>
            </w:r>
            <w:proofErr w:type="spellStart"/>
            <w:r w:rsidRPr="00D249E6">
              <w:rPr>
                <w:color w:val="A6A6A6" w:themeColor="background1" w:themeShade="A6"/>
              </w:rPr>
              <w:t>GUIDs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(in documentatie / standaard)</w:t>
            </w:r>
          </w:p>
        </w:tc>
        <w:tc>
          <w:tcPr>
            <w:tcW w:w="1984" w:type="dxa"/>
          </w:tcPr>
          <w:p w14:paraId="21E63120" w14:textId="05906B4C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6F7535F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1F6892" w:rsidRPr="00515521" w14:paraId="7F720FFD" w14:textId="77777777" w:rsidTr="00515521">
        <w:tc>
          <w:tcPr>
            <w:tcW w:w="567" w:type="dxa"/>
          </w:tcPr>
          <w:p w14:paraId="04075FE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14</w:t>
            </w:r>
          </w:p>
        </w:tc>
        <w:tc>
          <w:tcPr>
            <w:tcW w:w="5387" w:type="dxa"/>
          </w:tcPr>
          <w:p w14:paraId="29F7DFF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ZZL nog een keer opgesplitst en als 1 GIO proberen</w:t>
            </w:r>
          </w:p>
          <w:p w14:paraId="2557CA8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- Rijnland </w:t>
            </w:r>
          </w:p>
          <w:p w14:paraId="3401F8BC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RES Zeeland</w:t>
            </w:r>
          </w:p>
          <w:p w14:paraId="4AB00D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Door te voeren op de </w:t>
            </w:r>
            <w:proofErr w:type="spellStart"/>
            <w:r w:rsidRPr="00515521">
              <w:rPr>
                <w:color w:val="A6A6A6" w:themeColor="background1" w:themeShade="A6"/>
              </w:rPr>
              <w:t>Acc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als de keten in een volgende stap is geoptimaliseerd</w:t>
            </w:r>
          </w:p>
        </w:tc>
        <w:tc>
          <w:tcPr>
            <w:tcW w:w="1984" w:type="dxa"/>
          </w:tcPr>
          <w:p w14:paraId="086D3DAE" w14:textId="3EF98196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1E3E91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0B7587A9" w14:textId="77777777" w:rsidTr="00515521">
        <w:tc>
          <w:tcPr>
            <w:tcW w:w="567" w:type="dxa"/>
          </w:tcPr>
          <w:p w14:paraId="07A9E880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16</w:t>
            </w:r>
          </w:p>
        </w:tc>
        <w:tc>
          <w:tcPr>
            <w:tcW w:w="5387" w:type="dxa"/>
          </w:tcPr>
          <w:p w14:paraId="1C493990" w14:textId="2306EB40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Contact R</w:t>
            </w:r>
            <w:r w:rsidR="00FC7E07">
              <w:rPr>
                <w:color w:val="A6A6A6" w:themeColor="background1" w:themeShade="A6"/>
              </w:rPr>
              <w:t>T</w:t>
            </w:r>
            <w:r w:rsidRPr="00515521">
              <w:rPr>
                <w:color w:val="A6A6A6" w:themeColor="background1" w:themeShade="A6"/>
              </w:rPr>
              <w:t xml:space="preserve"> – M </w:t>
            </w:r>
            <w:proofErr w:type="spellStart"/>
            <w:r w:rsidRPr="00515521">
              <w:rPr>
                <w:color w:val="A6A6A6" w:themeColor="background1" w:themeShade="A6"/>
              </w:rPr>
              <w:t>ivm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</w:t>
            </w:r>
            <w:proofErr w:type="spellStart"/>
            <w:r w:rsidRPr="00515521">
              <w:rPr>
                <w:color w:val="A6A6A6" w:themeColor="background1" w:themeShade="A6"/>
              </w:rPr>
              <w:t>xlst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en wellicht nadere analyse</w:t>
            </w:r>
          </w:p>
        </w:tc>
        <w:tc>
          <w:tcPr>
            <w:tcW w:w="1984" w:type="dxa"/>
          </w:tcPr>
          <w:p w14:paraId="40321298" w14:textId="04ED38D4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C001D6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1CDDD09A" w14:textId="77777777" w:rsidTr="00515521">
        <w:tc>
          <w:tcPr>
            <w:tcW w:w="567" w:type="dxa"/>
          </w:tcPr>
          <w:p w14:paraId="36E2268D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17</w:t>
            </w:r>
          </w:p>
        </w:tc>
        <w:tc>
          <w:tcPr>
            <w:tcW w:w="5387" w:type="dxa"/>
          </w:tcPr>
          <w:p w14:paraId="1CEDC5F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Laatste twee stappen analyse OZON uitvoeren</w:t>
            </w:r>
          </w:p>
        </w:tc>
        <w:tc>
          <w:tcPr>
            <w:tcW w:w="1984" w:type="dxa"/>
          </w:tcPr>
          <w:p w14:paraId="68D161C9" w14:textId="1BA9CE9F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3A144E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30EAE9C7" w14:textId="77777777" w:rsidTr="00515521">
        <w:tc>
          <w:tcPr>
            <w:tcW w:w="567" w:type="dxa"/>
          </w:tcPr>
          <w:p w14:paraId="049866A3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18</w:t>
            </w:r>
          </w:p>
        </w:tc>
        <w:tc>
          <w:tcPr>
            <w:tcW w:w="5387" w:type="dxa"/>
          </w:tcPr>
          <w:p w14:paraId="65A621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Test met procesmatig / in kleinere badges aanleveren</w:t>
            </w:r>
          </w:p>
        </w:tc>
        <w:tc>
          <w:tcPr>
            <w:tcW w:w="1984" w:type="dxa"/>
          </w:tcPr>
          <w:p w14:paraId="3165E47A" w14:textId="5C6866AD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CFAE9DF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515521" w:rsidRPr="00515521" w14:paraId="3D1678D9" w14:textId="77777777" w:rsidTr="00515521">
        <w:tc>
          <w:tcPr>
            <w:tcW w:w="567" w:type="dxa"/>
          </w:tcPr>
          <w:p w14:paraId="12ED2A4F" w14:textId="77777777" w:rsidR="00515521" w:rsidRPr="00515521" w:rsidRDefault="00515521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20</w:t>
            </w:r>
          </w:p>
        </w:tc>
        <w:tc>
          <w:tcPr>
            <w:tcW w:w="5387" w:type="dxa"/>
          </w:tcPr>
          <w:p w14:paraId="2F7CE102" w14:textId="77777777" w:rsidR="00515521" w:rsidRPr="00515521" w:rsidRDefault="00515521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Uitwerken 1 OW-locatie met meerdere geometrieën, wat betekent dit voor de standaard? </w:t>
            </w:r>
          </w:p>
        </w:tc>
        <w:tc>
          <w:tcPr>
            <w:tcW w:w="1984" w:type="dxa"/>
          </w:tcPr>
          <w:p w14:paraId="64D0C811" w14:textId="2C37EE8A" w:rsidR="00515521" w:rsidRPr="00515521" w:rsidRDefault="00515521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89812D0" w14:textId="77777777" w:rsidR="00515521" w:rsidRPr="00515521" w:rsidRDefault="00515521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</w:tbl>
    <w:p w14:paraId="4D6B736F" w14:textId="2E3835D4" w:rsidR="00DF752C" w:rsidRDefault="00DF752C" w:rsidP="00253371"/>
    <w:p w14:paraId="3D75CAF3" w14:textId="77777777" w:rsidR="00DF752C" w:rsidRDefault="00DF752C" w:rsidP="00253371"/>
    <w:sectPr w:rsidR="00DF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C1"/>
    <w:multiLevelType w:val="hybridMultilevel"/>
    <w:tmpl w:val="B2CE171C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ED"/>
    <w:multiLevelType w:val="hybridMultilevel"/>
    <w:tmpl w:val="87622FB8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D2276"/>
    <w:multiLevelType w:val="hybridMultilevel"/>
    <w:tmpl w:val="0682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D417A"/>
    <w:multiLevelType w:val="hybridMultilevel"/>
    <w:tmpl w:val="CDBC3132"/>
    <w:lvl w:ilvl="0" w:tplc="4D1A7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0A6B44"/>
    <w:multiLevelType w:val="hybridMultilevel"/>
    <w:tmpl w:val="97A63CEE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87025C"/>
    <w:multiLevelType w:val="hybridMultilevel"/>
    <w:tmpl w:val="A46AFED2"/>
    <w:lvl w:ilvl="0" w:tplc="55A4F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A231A0"/>
    <w:multiLevelType w:val="hybridMultilevel"/>
    <w:tmpl w:val="E514D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C4066"/>
    <w:multiLevelType w:val="hybridMultilevel"/>
    <w:tmpl w:val="34F4CCE2"/>
    <w:lvl w:ilvl="0" w:tplc="874C1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17742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36137"/>
    <w:multiLevelType w:val="hybridMultilevel"/>
    <w:tmpl w:val="D22A1CFA"/>
    <w:lvl w:ilvl="0" w:tplc="DEB2F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A26919"/>
    <w:multiLevelType w:val="hybridMultilevel"/>
    <w:tmpl w:val="71460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183A9E"/>
    <w:multiLevelType w:val="hybridMultilevel"/>
    <w:tmpl w:val="75967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2"/>
  </w:num>
  <w:num w:numId="5">
    <w:abstractNumId w:val="8"/>
  </w:num>
  <w:num w:numId="6">
    <w:abstractNumId w:val="0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  <w:num w:numId="11">
    <w:abstractNumId w:val="11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E"/>
    <w:rsid w:val="00031FC6"/>
    <w:rsid w:val="0003501F"/>
    <w:rsid w:val="00040333"/>
    <w:rsid w:val="0004764E"/>
    <w:rsid w:val="00065768"/>
    <w:rsid w:val="00082DE5"/>
    <w:rsid w:val="000A2439"/>
    <w:rsid w:val="000B4EC8"/>
    <w:rsid w:val="000C619F"/>
    <w:rsid w:val="000C6866"/>
    <w:rsid w:val="000D5417"/>
    <w:rsid w:val="000D6A4E"/>
    <w:rsid w:val="00102B2E"/>
    <w:rsid w:val="00115657"/>
    <w:rsid w:val="00133B9F"/>
    <w:rsid w:val="00147A62"/>
    <w:rsid w:val="001612B2"/>
    <w:rsid w:val="00182212"/>
    <w:rsid w:val="00183CA5"/>
    <w:rsid w:val="001A3C85"/>
    <w:rsid w:val="001A6ACA"/>
    <w:rsid w:val="001B5C8E"/>
    <w:rsid w:val="001B71D2"/>
    <w:rsid w:val="001C67D8"/>
    <w:rsid w:val="001C7854"/>
    <w:rsid w:val="001D5C44"/>
    <w:rsid w:val="001E39B8"/>
    <w:rsid w:val="001E69EB"/>
    <w:rsid w:val="001F6261"/>
    <w:rsid w:val="001F6892"/>
    <w:rsid w:val="002035E8"/>
    <w:rsid w:val="00203D8F"/>
    <w:rsid w:val="002207CA"/>
    <w:rsid w:val="00226D90"/>
    <w:rsid w:val="00230141"/>
    <w:rsid w:val="00230C1F"/>
    <w:rsid w:val="00232BB4"/>
    <w:rsid w:val="0024300B"/>
    <w:rsid w:val="00243DA7"/>
    <w:rsid w:val="00252EDB"/>
    <w:rsid w:val="00253371"/>
    <w:rsid w:val="00255867"/>
    <w:rsid w:val="002657F0"/>
    <w:rsid w:val="0029298C"/>
    <w:rsid w:val="002A4470"/>
    <w:rsid w:val="002A4AF6"/>
    <w:rsid w:val="002B2DC1"/>
    <w:rsid w:val="002C3BC1"/>
    <w:rsid w:val="002C63F2"/>
    <w:rsid w:val="002D192D"/>
    <w:rsid w:val="002D76A4"/>
    <w:rsid w:val="002E3ABC"/>
    <w:rsid w:val="002F0D07"/>
    <w:rsid w:val="002F2F3B"/>
    <w:rsid w:val="003258B2"/>
    <w:rsid w:val="00335480"/>
    <w:rsid w:val="003412E1"/>
    <w:rsid w:val="00367732"/>
    <w:rsid w:val="00376A46"/>
    <w:rsid w:val="00383A1C"/>
    <w:rsid w:val="00390BAD"/>
    <w:rsid w:val="003A042F"/>
    <w:rsid w:val="003B6E9E"/>
    <w:rsid w:val="003C787A"/>
    <w:rsid w:val="003D0BD8"/>
    <w:rsid w:val="003D6144"/>
    <w:rsid w:val="003F256A"/>
    <w:rsid w:val="003F289E"/>
    <w:rsid w:val="004054B2"/>
    <w:rsid w:val="004575C8"/>
    <w:rsid w:val="00460260"/>
    <w:rsid w:val="00460C90"/>
    <w:rsid w:val="00474B93"/>
    <w:rsid w:val="004808B7"/>
    <w:rsid w:val="00487E41"/>
    <w:rsid w:val="00492616"/>
    <w:rsid w:val="00497ECF"/>
    <w:rsid w:val="004A0982"/>
    <w:rsid w:val="004A4732"/>
    <w:rsid w:val="004B0A5B"/>
    <w:rsid w:val="004B47AA"/>
    <w:rsid w:val="004D60EF"/>
    <w:rsid w:val="004E58D4"/>
    <w:rsid w:val="004F7387"/>
    <w:rsid w:val="00513C06"/>
    <w:rsid w:val="00513CFB"/>
    <w:rsid w:val="00515521"/>
    <w:rsid w:val="005760EF"/>
    <w:rsid w:val="00576476"/>
    <w:rsid w:val="00580D3F"/>
    <w:rsid w:val="005A31B9"/>
    <w:rsid w:val="005A614C"/>
    <w:rsid w:val="005A7312"/>
    <w:rsid w:val="005C05B3"/>
    <w:rsid w:val="005C393B"/>
    <w:rsid w:val="005F4E2F"/>
    <w:rsid w:val="005F5822"/>
    <w:rsid w:val="006049A8"/>
    <w:rsid w:val="00630215"/>
    <w:rsid w:val="00645495"/>
    <w:rsid w:val="00651A72"/>
    <w:rsid w:val="006641F4"/>
    <w:rsid w:val="00697F61"/>
    <w:rsid w:val="006F79E0"/>
    <w:rsid w:val="007051CF"/>
    <w:rsid w:val="00712AE3"/>
    <w:rsid w:val="00714DF8"/>
    <w:rsid w:val="00724823"/>
    <w:rsid w:val="00731A88"/>
    <w:rsid w:val="00732B61"/>
    <w:rsid w:val="007505FE"/>
    <w:rsid w:val="007715A1"/>
    <w:rsid w:val="00786543"/>
    <w:rsid w:val="007A084D"/>
    <w:rsid w:val="007D2A95"/>
    <w:rsid w:val="007E5F02"/>
    <w:rsid w:val="007F0CBD"/>
    <w:rsid w:val="007F5C3B"/>
    <w:rsid w:val="00810C29"/>
    <w:rsid w:val="00815D8E"/>
    <w:rsid w:val="008166B7"/>
    <w:rsid w:val="00820098"/>
    <w:rsid w:val="008203DF"/>
    <w:rsid w:val="00825799"/>
    <w:rsid w:val="00861BD3"/>
    <w:rsid w:val="00876F07"/>
    <w:rsid w:val="00884F2B"/>
    <w:rsid w:val="008949B3"/>
    <w:rsid w:val="008A3CBC"/>
    <w:rsid w:val="008A4CA4"/>
    <w:rsid w:val="008A6EC6"/>
    <w:rsid w:val="008B64BE"/>
    <w:rsid w:val="008C1FF0"/>
    <w:rsid w:val="008C4D5A"/>
    <w:rsid w:val="008E3957"/>
    <w:rsid w:val="009033CE"/>
    <w:rsid w:val="00905EF3"/>
    <w:rsid w:val="00914834"/>
    <w:rsid w:val="00917DC4"/>
    <w:rsid w:val="009506FE"/>
    <w:rsid w:val="00965334"/>
    <w:rsid w:val="0098004C"/>
    <w:rsid w:val="00984DB8"/>
    <w:rsid w:val="00985956"/>
    <w:rsid w:val="009862B1"/>
    <w:rsid w:val="009B27D9"/>
    <w:rsid w:val="009B69D9"/>
    <w:rsid w:val="009C0B70"/>
    <w:rsid w:val="009D1221"/>
    <w:rsid w:val="009D2EBB"/>
    <w:rsid w:val="00A02903"/>
    <w:rsid w:val="00A1465E"/>
    <w:rsid w:val="00A40442"/>
    <w:rsid w:val="00A438A0"/>
    <w:rsid w:val="00A44C8D"/>
    <w:rsid w:val="00A52D3E"/>
    <w:rsid w:val="00A565F4"/>
    <w:rsid w:val="00AA2B9C"/>
    <w:rsid w:val="00AB4EAE"/>
    <w:rsid w:val="00AC4DC8"/>
    <w:rsid w:val="00AC76FF"/>
    <w:rsid w:val="00AE694D"/>
    <w:rsid w:val="00B01516"/>
    <w:rsid w:val="00B10A24"/>
    <w:rsid w:val="00B24924"/>
    <w:rsid w:val="00B62689"/>
    <w:rsid w:val="00B72770"/>
    <w:rsid w:val="00B82645"/>
    <w:rsid w:val="00B97848"/>
    <w:rsid w:val="00BA1686"/>
    <w:rsid w:val="00BA7586"/>
    <w:rsid w:val="00BC434D"/>
    <w:rsid w:val="00BC7272"/>
    <w:rsid w:val="00BD16B0"/>
    <w:rsid w:val="00BD2184"/>
    <w:rsid w:val="00BD61C3"/>
    <w:rsid w:val="00BF21FD"/>
    <w:rsid w:val="00BF2D16"/>
    <w:rsid w:val="00C04523"/>
    <w:rsid w:val="00C11718"/>
    <w:rsid w:val="00C11F38"/>
    <w:rsid w:val="00C33483"/>
    <w:rsid w:val="00C506E4"/>
    <w:rsid w:val="00C56705"/>
    <w:rsid w:val="00C606C8"/>
    <w:rsid w:val="00C63140"/>
    <w:rsid w:val="00C65158"/>
    <w:rsid w:val="00C805B2"/>
    <w:rsid w:val="00C8245F"/>
    <w:rsid w:val="00C82809"/>
    <w:rsid w:val="00C868A2"/>
    <w:rsid w:val="00CB69D9"/>
    <w:rsid w:val="00CB7171"/>
    <w:rsid w:val="00CD683D"/>
    <w:rsid w:val="00CD6A92"/>
    <w:rsid w:val="00CE2120"/>
    <w:rsid w:val="00CE2C3B"/>
    <w:rsid w:val="00CE6690"/>
    <w:rsid w:val="00D05D43"/>
    <w:rsid w:val="00D249E6"/>
    <w:rsid w:val="00D50D3E"/>
    <w:rsid w:val="00D54727"/>
    <w:rsid w:val="00D63023"/>
    <w:rsid w:val="00D63765"/>
    <w:rsid w:val="00D662D6"/>
    <w:rsid w:val="00D71E16"/>
    <w:rsid w:val="00DA055A"/>
    <w:rsid w:val="00DA564C"/>
    <w:rsid w:val="00DF752C"/>
    <w:rsid w:val="00E01575"/>
    <w:rsid w:val="00E07DE1"/>
    <w:rsid w:val="00E30BD0"/>
    <w:rsid w:val="00E30DF0"/>
    <w:rsid w:val="00E442A6"/>
    <w:rsid w:val="00E57791"/>
    <w:rsid w:val="00E63D0E"/>
    <w:rsid w:val="00E64FFB"/>
    <w:rsid w:val="00E73B70"/>
    <w:rsid w:val="00E82F84"/>
    <w:rsid w:val="00E84028"/>
    <w:rsid w:val="00E86DD1"/>
    <w:rsid w:val="00EB1D4E"/>
    <w:rsid w:val="00ED7372"/>
    <w:rsid w:val="00EF1E5A"/>
    <w:rsid w:val="00F075CC"/>
    <w:rsid w:val="00F23A5F"/>
    <w:rsid w:val="00F31FE3"/>
    <w:rsid w:val="00F367BF"/>
    <w:rsid w:val="00F51094"/>
    <w:rsid w:val="00F5110D"/>
    <w:rsid w:val="00F62267"/>
    <w:rsid w:val="00F65BF8"/>
    <w:rsid w:val="00F811D9"/>
    <w:rsid w:val="00F933DA"/>
    <w:rsid w:val="00F947FE"/>
    <w:rsid w:val="00FA2A5D"/>
    <w:rsid w:val="00FB34F9"/>
    <w:rsid w:val="00FB54D7"/>
    <w:rsid w:val="00FC64E8"/>
    <w:rsid w:val="00FC7E07"/>
    <w:rsid w:val="00FE0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FD"/>
  <w15:chartTrackingRefBased/>
  <w15:docId w15:val="{5F5A2275-D187-4F8E-A169-4E3797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D4E"/>
    <w:pPr>
      <w:ind w:left="720"/>
      <w:contextualSpacing/>
    </w:pPr>
  </w:style>
  <w:style w:type="table" w:styleId="Tabelraster">
    <w:name w:val="Table Grid"/>
    <w:basedOn w:val="Standaardtabel"/>
    <w:uiPriority w:val="39"/>
    <w:rsid w:val="00F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59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9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9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9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95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E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18AFFFE-DC67-41BE-BA53-E7B787704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ECEA63-CB70-4499-8E03-7CF39F1DC38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1BCC4-407E-4793-82C2-3742CF1AC84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900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6</cp:revision>
  <dcterms:created xsi:type="dcterms:W3CDTF">2021-11-09T16:28:00Z</dcterms:created>
  <dcterms:modified xsi:type="dcterms:W3CDTF">2022-01-28T12:46:00Z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0x010100FEE89826ACF2144F92633487015B30A1</vt:lpwstr>
  </property>
</Properties>
</file>